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603E6" w14:textId="4A926652" w:rsidR="003C2283" w:rsidRPr="00613C41" w:rsidRDefault="00373A35" w:rsidP="008B2785">
      <w:pPr>
        <w:spacing w:before="240"/>
        <w:rPr>
          <w:b/>
          <w:sz w:val="28"/>
          <w:szCs w:val="28"/>
        </w:rPr>
      </w:pPr>
      <w:r>
        <w:rPr>
          <w:b/>
          <w:sz w:val="28"/>
          <w:szCs w:val="28"/>
        </w:rPr>
        <w:t>Počet osob s demencí se do roku 2050 ztrojnásobí</w:t>
      </w:r>
    </w:p>
    <w:p w14:paraId="03DA896F" w14:textId="57A3FC4C" w:rsidR="003C2283" w:rsidRPr="00613C41" w:rsidRDefault="00373A35" w:rsidP="00613C41">
      <w:pPr>
        <w:jc w:val="both"/>
        <w:rPr>
          <w:i/>
        </w:rPr>
      </w:pPr>
      <w:r>
        <w:rPr>
          <w:i/>
        </w:rPr>
        <w:t>Praha</w:t>
      </w:r>
      <w:r w:rsidR="008B2785" w:rsidRPr="00C834D0">
        <w:rPr>
          <w:i/>
        </w:rPr>
        <w:t xml:space="preserve"> </w:t>
      </w:r>
      <w:r w:rsidR="00A82CE9">
        <w:rPr>
          <w:i/>
        </w:rPr>
        <w:t>8</w:t>
      </w:r>
      <w:r w:rsidR="008B2785" w:rsidRPr="00C834D0">
        <w:rPr>
          <w:i/>
        </w:rPr>
        <w:t xml:space="preserve">. </w:t>
      </w:r>
      <w:r>
        <w:rPr>
          <w:i/>
        </w:rPr>
        <w:t>února</w:t>
      </w:r>
      <w:r w:rsidR="008B2785">
        <w:rPr>
          <w:i/>
        </w:rPr>
        <w:t xml:space="preserve"> 201</w:t>
      </w:r>
      <w:r>
        <w:rPr>
          <w:i/>
        </w:rPr>
        <w:t>8</w:t>
      </w:r>
      <w:r w:rsidR="009E2D3E">
        <w:rPr>
          <w:i/>
        </w:rPr>
        <w:t xml:space="preserve"> –</w:t>
      </w:r>
      <w:r w:rsidR="008B2785">
        <w:rPr>
          <w:i/>
        </w:rPr>
        <w:t xml:space="preserve"> </w:t>
      </w:r>
      <w:r>
        <w:rPr>
          <w:b/>
          <w:i/>
        </w:rPr>
        <w:t>Světová zdravotnická organizace WHO vydala prohlášení, že do roku 2050 se počet osob s demencí zvedne z 50 na 152 milionů. Příčinou je podle WHO</w:t>
      </w:r>
      <w:r w:rsidR="00B831D9" w:rsidRPr="005B6A1D">
        <w:rPr>
          <w:b/>
          <w:i/>
        </w:rPr>
        <w:t xml:space="preserve"> </w:t>
      </w:r>
      <w:r>
        <w:rPr>
          <w:b/>
          <w:i/>
        </w:rPr>
        <w:t>globální stárnutí populace. Organizace zároveň upozorňuje, že instituce pro poskytování zdravotnické a sociální péče nejsou na tuto situaci připraven</w:t>
      </w:r>
      <w:r w:rsidR="00A961BA">
        <w:rPr>
          <w:b/>
          <w:i/>
        </w:rPr>
        <w:t>é</w:t>
      </w:r>
      <w:r>
        <w:rPr>
          <w:b/>
          <w:i/>
        </w:rPr>
        <w:t xml:space="preserve">. </w:t>
      </w:r>
    </w:p>
    <w:p w14:paraId="48BABBC4" w14:textId="166F511B" w:rsidR="009448FD" w:rsidRDefault="00373A35" w:rsidP="009448FD">
      <w:pPr>
        <w:spacing w:line="240" w:lineRule="auto"/>
        <w:jc w:val="both"/>
      </w:pPr>
      <w:r w:rsidRPr="009448FD">
        <w:t>Demence je souhrnný náz</w:t>
      </w:r>
      <w:r w:rsidR="00A961BA">
        <w:t>e</w:t>
      </w:r>
      <w:r w:rsidRPr="009448FD">
        <w:t xml:space="preserve">v pro choroby zapříčiněné degenerativními změnami v mozkové tkáni. Nejznámějšími formami jsou Alzheimerova nebo Parkinsonova choroba. Podle České </w:t>
      </w:r>
      <w:proofErr w:type="spellStart"/>
      <w:r w:rsidR="00A961BA">
        <w:t>a</w:t>
      </w:r>
      <w:r w:rsidR="00A961BA" w:rsidRPr="009448FD">
        <w:t>lzheimerovské</w:t>
      </w:r>
      <w:proofErr w:type="spellEnd"/>
      <w:r w:rsidR="00A961BA" w:rsidRPr="009448FD">
        <w:t xml:space="preserve"> </w:t>
      </w:r>
      <w:r w:rsidRPr="009448FD">
        <w:t xml:space="preserve">společnosti se počet osob s demencí v České republice pohybuje okolo 153 000. </w:t>
      </w:r>
      <w:r w:rsidR="009448FD" w:rsidRPr="009448FD">
        <w:t xml:space="preserve">Kvůli </w:t>
      </w:r>
      <w:r w:rsidR="003124C2">
        <w:t>rychlému</w:t>
      </w:r>
      <w:r w:rsidR="003124C2" w:rsidRPr="009448FD">
        <w:t xml:space="preserve"> </w:t>
      </w:r>
      <w:r w:rsidR="009448FD" w:rsidRPr="009448FD">
        <w:t xml:space="preserve">stárnutí populace se odhaduje, že tento počet dál </w:t>
      </w:r>
      <w:r w:rsidR="00A961BA">
        <w:t>poroste</w:t>
      </w:r>
      <w:r w:rsidR="009448FD" w:rsidRPr="009448FD">
        <w:t xml:space="preserve">. </w:t>
      </w:r>
      <w:r w:rsidR="00F379DE" w:rsidRPr="000F294D">
        <w:rPr>
          <w:rFonts w:cstheme="minorHAnsi"/>
          <w:shd w:val="clear" w:color="auto" w:fill="FFFFFF"/>
        </w:rPr>
        <w:t xml:space="preserve">Typickými příznaky jsou zapomnětlivost, ztráta orientace, poruchy řeči, omezená schopnost </w:t>
      </w:r>
      <w:bookmarkStart w:id="0" w:name="_GoBack"/>
      <w:bookmarkEnd w:id="0"/>
      <w:r w:rsidR="00F379DE" w:rsidRPr="000F294D">
        <w:rPr>
          <w:rFonts w:cstheme="minorHAnsi"/>
          <w:shd w:val="clear" w:color="auto" w:fill="FFFFFF"/>
        </w:rPr>
        <w:t xml:space="preserve">úsudku, změny osobnosti a ztráta motivace. Každodenní činnosti jako </w:t>
      </w:r>
      <w:r w:rsidR="00F379DE">
        <w:rPr>
          <w:rFonts w:cstheme="minorHAnsi"/>
          <w:shd w:val="clear" w:color="auto" w:fill="FFFFFF"/>
        </w:rPr>
        <w:t xml:space="preserve">je </w:t>
      </w:r>
      <w:r w:rsidR="00F379DE" w:rsidRPr="000F294D">
        <w:rPr>
          <w:rFonts w:cstheme="minorHAnsi"/>
          <w:shd w:val="clear" w:color="auto" w:fill="FFFFFF"/>
        </w:rPr>
        <w:t>oblékání, příprava jídla nebo nákupy</w:t>
      </w:r>
      <w:r w:rsidR="00F379DE">
        <w:rPr>
          <w:rFonts w:cstheme="minorHAnsi"/>
          <w:shd w:val="clear" w:color="auto" w:fill="FFFFFF"/>
        </w:rPr>
        <w:t>,</w:t>
      </w:r>
      <w:r w:rsidR="00F379DE" w:rsidRPr="000F294D">
        <w:rPr>
          <w:rFonts w:cstheme="minorHAnsi"/>
          <w:shd w:val="clear" w:color="auto" w:fill="FFFFFF"/>
        </w:rPr>
        <w:t xml:space="preserve"> se stávají nezvladatelnými.</w:t>
      </w:r>
    </w:p>
    <w:p w14:paraId="7BA8ED37" w14:textId="29390CFE" w:rsidR="009448FD" w:rsidRDefault="009448FD" w:rsidP="004433B4">
      <w:pPr>
        <w:spacing w:line="240" w:lineRule="auto"/>
        <w:jc w:val="both"/>
      </w:pPr>
      <w:r>
        <w:t>„</w:t>
      </w:r>
      <w:r w:rsidR="004433B4">
        <w:rPr>
          <w:i/>
        </w:rPr>
        <w:t>O</w:t>
      </w:r>
      <w:r w:rsidRPr="009448FD">
        <w:rPr>
          <w:i/>
        </w:rPr>
        <w:t xml:space="preserve"> osobu s demencí není vždy </w:t>
      </w:r>
      <w:r w:rsidR="004433B4">
        <w:rPr>
          <w:i/>
        </w:rPr>
        <w:t xml:space="preserve">možné </w:t>
      </w:r>
      <w:r w:rsidRPr="009448FD">
        <w:rPr>
          <w:i/>
        </w:rPr>
        <w:t>pečovat v domácím prostředí. Důvody mohou být různé. V domácím prostředí se mohou nacházet bariéry či rizika, </w:t>
      </w:r>
      <w:r w:rsidR="004433B4">
        <w:rPr>
          <w:i/>
        </w:rPr>
        <w:t>které by mohly</w:t>
      </w:r>
      <w:r w:rsidRPr="009448FD">
        <w:rPr>
          <w:i/>
        </w:rPr>
        <w:t xml:space="preserve"> danému člověku způsobit újmu. Dalším častým důvodem bývá vzdálenost blízkých osob, </w:t>
      </w:r>
      <w:r w:rsidR="004433B4">
        <w:rPr>
          <w:i/>
        </w:rPr>
        <w:t>které nemus</w:t>
      </w:r>
      <w:r w:rsidR="00A961BA">
        <w:rPr>
          <w:i/>
        </w:rPr>
        <w:t>ej</w:t>
      </w:r>
      <w:r w:rsidR="004433B4">
        <w:rPr>
          <w:i/>
        </w:rPr>
        <w:t xml:space="preserve">í být schopny flexibilně reagovat na aktuální potřeby nemocného, </w:t>
      </w:r>
      <w:r w:rsidRPr="009448FD">
        <w:rPr>
          <w:i/>
        </w:rPr>
        <w:t>či jejich „nekvalifikovanost“ v oblasti péče. Samozřejmě musíme také zmínit, že demence je progresivní onemocnění, které může dojít do stavu, kdy dotyčný potřebuje nepřetržitou kvalifikovanou profesionální péči.  Zde se právě dostáváme ke kapacitám pobytových služeb, které nestačí všechny potřebné zájemce obsloužit</w:t>
      </w:r>
      <w:r>
        <w:t xml:space="preserve">,“ komentuje situaci Ivan Černovský, ředitel </w:t>
      </w:r>
      <w:r w:rsidR="00382D88">
        <w:t xml:space="preserve">dvou </w:t>
      </w:r>
      <w:r>
        <w:t xml:space="preserve">pražských </w:t>
      </w:r>
      <w:proofErr w:type="spellStart"/>
      <w:r w:rsidR="00382D88">
        <w:t>SeniorCenter</w:t>
      </w:r>
      <w:proofErr w:type="spellEnd"/>
      <w:r w:rsidR="00382D88">
        <w:t xml:space="preserve"> </w:t>
      </w:r>
      <w:r w:rsidR="00B273E9">
        <w:t xml:space="preserve">patřících do </w:t>
      </w:r>
      <w:r w:rsidR="00382D88">
        <w:t>sítě</w:t>
      </w:r>
      <w:r>
        <w:t xml:space="preserve"> </w:t>
      </w:r>
      <w:r w:rsidR="00B273E9">
        <w:t xml:space="preserve">společnosti </w:t>
      </w:r>
      <w:r>
        <w:t>SeneCura.</w:t>
      </w:r>
      <w:r w:rsidR="00271ACE">
        <w:t xml:space="preserve"> </w:t>
      </w:r>
    </w:p>
    <w:p w14:paraId="489A0A3E" w14:textId="0CB43AA7" w:rsidR="009448FD" w:rsidRDefault="004433B4" w:rsidP="009448FD">
      <w:pPr>
        <w:spacing w:line="240" w:lineRule="auto"/>
        <w:jc w:val="both"/>
      </w:pPr>
      <w:r>
        <w:t>Právě domovy pro seniory jsou institucí, kde osoby s demencí nejčastěji tráví své stáří. Konkrétně se jedná o domovy s</w:t>
      </w:r>
      <w:r w:rsidR="004562B2">
        <w:t> tzv.</w:t>
      </w:r>
      <w:r>
        <w:t xml:space="preserve"> zvláštním režimem, </w:t>
      </w:r>
      <w:r w:rsidR="004562B2">
        <w:t>kde jsou</w:t>
      </w:r>
      <w:r>
        <w:t xml:space="preserve"> </w:t>
      </w:r>
      <w:r w:rsidR="004562B2">
        <w:t>připraveni na potřeby</w:t>
      </w:r>
      <w:r>
        <w:t xml:space="preserve"> </w:t>
      </w:r>
      <w:r w:rsidR="00B273E9">
        <w:t xml:space="preserve">a </w:t>
      </w:r>
      <w:r>
        <w:t>přání klientů</w:t>
      </w:r>
      <w:r w:rsidR="00826804">
        <w:t xml:space="preserve"> s demencí</w:t>
      </w:r>
      <w:r>
        <w:t xml:space="preserve">. </w:t>
      </w:r>
      <w:r w:rsidR="009448FD">
        <w:t>„</w:t>
      </w:r>
      <w:r w:rsidR="009448FD" w:rsidRPr="009448FD">
        <w:rPr>
          <w:i/>
        </w:rPr>
        <w:t xml:space="preserve">Se zvýšeným zájmem o tento typ sociálních služeb se v posledních letech </w:t>
      </w:r>
      <w:r w:rsidR="004562B2">
        <w:rPr>
          <w:i/>
        </w:rPr>
        <w:t xml:space="preserve">skutečně </w:t>
      </w:r>
      <w:r w:rsidR="009448FD" w:rsidRPr="009448FD">
        <w:rPr>
          <w:i/>
        </w:rPr>
        <w:t>setkáváme. Populace stárne</w:t>
      </w:r>
      <w:r w:rsidR="004562B2">
        <w:rPr>
          <w:i/>
        </w:rPr>
        <w:t>,</w:t>
      </w:r>
      <w:r w:rsidR="009448FD" w:rsidRPr="009448FD">
        <w:rPr>
          <w:i/>
        </w:rPr>
        <w:t xml:space="preserve"> a s tím se pojí i vyšší </w:t>
      </w:r>
      <w:r w:rsidR="00B273E9">
        <w:rPr>
          <w:i/>
        </w:rPr>
        <w:t>počet</w:t>
      </w:r>
      <w:r w:rsidR="00B273E9" w:rsidRPr="009448FD">
        <w:rPr>
          <w:i/>
        </w:rPr>
        <w:t xml:space="preserve"> </w:t>
      </w:r>
      <w:r w:rsidR="009448FD" w:rsidRPr="009448FD">
        <w:rPr>
          <w:i/>
        </w:rPr>
        <w:t>osob</w:t>
      </w:r>
      <w:r w:rsidR="0013204F">
        <w:rPr>
          <w:i/>
        </w:rPr>
        <w:t xml:space="preserve"> s</w:t>
      </w:r>
      <w:r w:rsidR="009448FD" w:rsidRPr="009448FD">
        <w:rPr>
          <w:i/>
        </w:rPr>
        <w:t xml:space="preserve"> </w:t>
      </w:r>
      <w:r w:rsidR="0013204F" w:rsidRPr="009448FD">
        <w:rPr>
          <w:i/>
        </w:rPr>
        <w:t>nějak</w:t>
      </w:r>
      <w:r w:rsidR="0013204F">
        <w:rPr>
          <w:i/>
        </w:rPr>
        <w:t>ou</w:t>
      </w:r>
      <w:r w:rsidR="0013204F" w:rsidRPr="009448FD">
        <w:rPr>
          <w:i/>
        </w:rPr>
        <w:t xml:space="preserve"> </w:t>
      </w:r>
      <w:r w:rsidR="006A0B0B">
        <w:rPr>
          <w:i/>
        </w:rPr>
        <w:t>formou</w:t>
      </w:r>
      <w:r w:rsidR="003124C2">
        <w:rPr>
          <w:i/>
        </w:rPr>
        <w:t xml:space="preserve"> </w:t>
      </w:r>
      <w:r w:rsidR="009448FD" w:rsidRPr="009448FD">
        <w:rPr>
          <w:i/>
        </w:rPr>
        <w:t>demence</w:t>
      </w:r>
      <w:r>
        <w:rPr>
          <w:i/>
        </w:rPr>
        <w:t>,“</w:t>
      </w:r>
      <w:r>
        <w:t xml:space="preserve"> doplňuje Černovský. </w:t>
      </w:r>
    </w:p>
    <w:p w14:paraId="107A9FFF" w14:textId="557FD03E" w:rsidR="004433B4" w:rsidRDefault="000C31B3" w:rsidP="009448FD">
      <w:pPr>
        <w:spacing w:line="240" w:lineRule="auto"/>
        <w:jc w:val="both"/>
      </w:pPr>
      <w:r>
        <w:t xml:space="preserve">Péče o seniory je vzhledem ke stárnutí populace jednou z největších výzev sociálního systému, který se potýká s mnoha problémy. V České republice jde zejména o akutní nedostatek volných lůžek v institucích poskytujících péči o seniory. Čekací doby jsou tak dlouhé, že se často senioři svého lůžka bohužel ani nedožijí. </w:t>
      </w:r>
      <w:r w:rsidR="00506D5E">
        <w:t xml:space="preserve">Na podzimní konferenci o stárnutí zmínila náměstkyně MPSV Zuzana </w:t>
      </w:r>
      <w:proofErr w:type="spellStart"/>
      <w:r w:rsidR="00506D5E">
        <w:t>Jentschke</w:t>
      </w:r>
      <w:proofErr w:type="spellEnd"/>
      <w:r w:rsidR="00506D5E">
        <w:t xml:space="preserve"> </w:t>
      </w:r>
      <w:proofErr w:type="spellStart"/>
      <w:r w:rsidR="00506D5E">
        <w:t>Stöcklová</w:t>
      </w:r>
      <w:proofErr w:type="spellEnd"/>
      <w:r w:rsidR="00506D5E">
        <w:t xml:space="preserve"> také problém </w:t>
      </w:r>
      <w:r>
        <w:t>„nelidskost</w:t>
      </w:r>
      <w:r w:rsidR="00506D5E">
        <w:t>i</w:t>
      </w:r>
      <w:r>
        <w:t xml:space="preserve">“ </w:t>
      </w:r>
      <w:r w:rsidR="00506D5E">
        <w:t xml:space="preserve">domovů </w:t>
      </w:r>
      <w:r>
        <w:t xml:space="preserve">a </w:t>
      </w:r>
      <w:r w:rsidR="00506D5E">
        <w:t xml:space="preserve">jejich </w:t>
      </w:r>
      <w:r>
        <w:t>podobnost spíše s nemocničním zařízením než s místem důstojné</w:t>
      </w:r>
      <w:r w:rsidR="0013204F">
        <w:t>ho</w:t>
      </w:r>
      <w:r>
        <w:t xml:space="preserve"> a klidné</w:t>
      </w:r>
      <w:r w:rsidR="0013204F">
        <w:t>ho</w:t>
      </w:r>
      <w:r>
        <w:t xml:space="preserve"> stáří. </w:t>
      </w:r>
    </w:p>
    <w:p w14:paraId="476E0D70" w14:textId="77777777" w:rsidR="00BA4A34" w:rsidRDefault="000C31B3" w:rsidP="004253AA">
      <w:pPr>
        <w:spacing w:line="240" w:lineRule="auto"/>
        <w:jc w:val="both"/>
      </w:pPr>
      <w:r w:rsidRPr="00BD7C57">
        <w:t xml:space="preserve">V minulém roce </w:t>
      </w:r>
      <w:r w:rsidR="0013204F" w:rsidRPr="00BD7C57">
        <w:t xml:space="preserve">vstoupila </w:t>
      </w:r>
      <w:r w:rsidRPr="00BD7C57">
        <w:t>na český trh rakouská společnost SeneCura, která v současné době provozuje v České republice 12 domovů pro seniory</w:t>
      </w:r>
      <w:r w:rsidR="00BD7C57" w:rsidRPr="00BD7C57">
        <w:t>,</w:t>
      </w:r>
      <w:r w:rsidRPr="00BD7C57">
        <w:t xml:space="preserve"> a </w:t>
      </w:r>
      <w:r w:rsidR="00BD7C57" w:rsidRPr="00BD7C57">
        <w:t xml:space="preserve">tak je zde největším soukromým poskytovatelem sociálních služeb </w:t>
      </w:r>
      <w:r w:rsidR="0013204F">
        <w:t>seniorům</w:t>
      </w:r>
      <w:r w:rsidR="00BD7C57" w:rsidRPr="00BD7C57">
        <w:t xml:space="preserve">. </w:t>
      </w:r>
    </w:p>
    <w:p w14:paraId="6E3E8AC5" w14:textId="3708BDC1" w:rsidR="00BD7C57" w:rsidRDefault="00271ACE" w:rsidP="00BD7C57">
      <w:pPr>
        <w:spacing w:after="0" w:line="240" w:lineRule="auto"/>
        <w:jc w:val="both"/>
      </w:pPr>
      <w:r>
        <w:t xml:space="preserve">V domovech SeneCura </w:t>
      </w:r>
      <w:r w:rsidR="00F379DE">
        <w:t xml:space="preserve">tvoří </w:t>
      </w:r>
      <w:r>
        <w:t>služba Domov se zvláštním režimem</w:t>
      </w:r>
      <w:r w:rsidR="00F379DE">
        <w:t xml:space="preserve"> </w:t>
      </w:r>
      <w:r>
        <w:t>témě</w:t>
      </w:r>
      <w:r w:rsidR="003124C2">
        <w:t>ř</w:t>
      </w:r>
      <w:r>
        <w:t xml:space="preserve"> 70</w:t>
      </w:r>
      <w:r w:rsidR="003124C2">
        <w:t xml:space="preserve"> </w:t>
      </w:r>
      <w:r>
        <w:t xml:space="preserve">% jejích lůžkových kapacit. </w:t>
      </w:r>
      <w:r w:rsidR="00BD7C57" w:rsidRPr="00BD7C57">
        <w:rPr>
          <w:rFonts w:cstheme="minorHAnsi"/>
        </w:rPr>
        <w:t>Demografické změny a stárnutí populace je trend, který SeneCura vnímá velice intenzivně. „</w:t>
      </w:r>
      <w:r w:rsidR="0013204F">
        <w:rPr>
          <w:i/>
        </w:rPr>
        <w:t>R</w:t>
      </w:r>
      <w:r w:rsidR="00BD7C57" w:rsidRPr="00BD7C57">
        <w:rPr>
          <w:i/>
        </w:rPr>
        <w:t>eag</w:t>
      </w:r>
      <w:r w:rsidR="0013204F">
        <w:rPr>
          <w:i/>
        </w:rPr>
        <w:t>ujeme na tento fakt</w:t>
      </w:r>
      <w:r w:rsidR="00BD7C57" w:rsidRPr="00BD7C57">
        <w:rPr>
          <w:i/>
        </w:rPr>
        <w:t xml:space="preserve"> v několika rovinách. </w:t>
      </w:r>
      <w:r w:rsidR="00BA4A34">
        <w:rPr>
          <w:i/>
        </w:rPr>
        <w:t>N</w:t>
      </w:r>
      <w:r w:rsidR="00506D5E">
        <w:rPr>
          <w:i/>
        </w:rPr>
        <w:t xml:space="preserve">eustále </w:t>
      </w:r>
      <w:r w:rsidR="00BA4A34">
        <w:rPr>
          <w:i/>
        </w:rPr>
        <w:t xml:space="preserve">se </w:t>
      </w:r>
      <w:r w:rsidR="00506D5E">
        <w:rPr>
          <w:i/>
        </w:rPr>
        <w:t xml:space="preserve">snažíme </w:t>
      </w:r>
      <w:r w:rsidR="0013204F">
        <w:rPr>
          <w:i/>
        </w:rPr>
        <w:t xml:space="preserve">navyšovat </w:t>
      </w:r>
      <w:r w:rsidR="00506D5E">
        <w:rPr>
          <w:i/>
        </w:rPr>
        <w:t>kapacity v domovech se zvláštním režimem, což</w:t>
      </w:r>
      <w:r w:rsidR="00BD7C57" w:rsidRPr="00BD7C57">
        <w:rPr>
          <w:i/>
        </w:rPr>
        <w:t xml:space="preserve"> </w:t>
      </w:r>
      <w:r w:rsidR="00506D5E">
        <w:rPr>
          <w:i/>
        </w:rPr>
        <w:t>ú</w:t>
      </w:r>
      <w:r w:rsidR="00BD7C57" w:rsidRPr="00BD7C57">
        <w:rPr>
          <w:i/>
        </w:rPr>
        <w:t>zce souvisí i s přípravou adekvátních prostor pro pobyt osob s demencí, materiálním vybavením domov</w:t>
      </w:r>
      <w:r w:rsidR="00506D5E">
        <w:rPr>
          <w:i/>
        </w:rPr>
        <w:t>ů</w:t>
      </w:r>
      <w:r w:rsidR="00BD7C57" w:rsidRPr="00BD7C57">
        <w:rPr>
          <w:i/>
        </w:rPr>
        <w:t xml:space="preserve"> a s odbornou přípravou personálu v oblasti přímé péče,“ </w:t>
      </w:r>
      <w:r w:rsidR="00BD7C57" w:rsidRPr="00BD7C57">
        <w:t>říká Ivan Černovský</w:t>
      </w:r>
      <w:r w:rsidR="00BD7C57">
        <w:t xml:space="preserve"> a pokračuje: „</w:t>
      </w:r>
      <w:r w:rsidR="00BD7C57" w:rsidRPr="00BD7C57">
        <w:rPr>
          <w:i/>
        </w:rPr>
        <w:t xml:space="preserve">Naše poslání zní </w:t>
      </w:r>
      <w:r w:rsidR="00ED1134">
        <w:rPr>
          <w:i/>
        </w:rPr>
        <w:t>„</w:t>
      </w:r>
      <w:r w:rsidR="00BD7C57" w:rsidRPr="00BD7C57">
        <w:rPr>
          <w:i/>
        </w:rPr>
        <w:t>Život pokračuje s</w:t>
      </w:r>
      <w:r w:rsidR="00ED1134">
        <w:rPr>
          <w:i/>
        </w:rPr>
        <w:t> </w:t>
      </w:r>
      <w:r w:rsidR="00BD7C57" w:rsidRPr="00BD7C57">
        <w:rPr>
          <w:i/>
        </w:rPr>
        <w:t>námi</w:t>
      </w:r>
      <w:r w:rsidR="00ED1134">
        <w:rPr>
          <w:i/>
        </w:rPr>
        <w:t>“</w:t>
      </w:r>
      <w:r w:rsidR="00BD7C57" w:rsidRPr="00BD7C57">
        <w:rPr>
          <w:i/>
        </w:rPr>
        <w:t xml:space="preserve">. </w:t>
      </w:r>
      <w:r w:rsidR="00BA4A34">
        <w:rPr>
          <w:i/>
        </w:rPr>
        <w:t>V </w:t>
      </w:r>
      <w:proofErr w:type="spellStart"/>
      <w:r w:rsidR="00BA4A34">
        <w:rPr>
          <w:i/>
        </w:rPr>
        <w:t>SeniorCentrech</w:t>
      </w:r>
      <w:proofErr w:type="spellEnd"/>
      <w:r w:rsidR="00BA4A34">
        <w:rPr>
          <w:i/>
        </w:rPr>
        <w:t xml:space="preserve"> se osoby s demencí nacházejí v prostředí, které je optimálně přizpůsobeno jejich potřebám a které jim umožňuje prožít kvalitní stáří, i přes své onemocnění. </w:t>
      </w:r>
      <w:r w:rsidR="00BD7C57" w:rsidRPr="00BD7C57">
        <w:rPr>
          <w:i/>
        </w:rPr>
        <w:t>Nejde přitom jen o přímou péči, která je samozřejmě velice důležitá</w:t>
      </w:r>
      <w:r w:rsidR="00BD7C57">
        <w:rPr>
          <w:i/>
        </w:rPr>
        <w:t xml:space="preserve">, </w:t>
      </w:r>
      <w:r w:rsidR="00506D5E">
        <w:rPr>
          <w:i/>
        </w:rPr>
        <w:t xml:space="preserve">ale </w:t>
      </w:r>
      <w:r w:rsidR="00BD7C57">
        <w:rPr>
          <w:i/>
        </w:rPr>
        <w:t>m</w:t>
      </w:r>
      <w:r w:rsidR="00BD7C57" w:rsidRPr="00BD7C57">
        <w:rPr>
          <w:i/>
        </w:rPr>
        <w:t xml:space="preserve">áme tím na mysli i poskytování kvalitní pestré stravy, </w:t>
      </w:r>
      <w:r w:rsidR="00BD7C57">
        <w:rPr>
          <w:i/>
        </w:rPr>
        <w:t xml:space="preserve">socializaci klientů a otevřenost domova, spolupráci s dětskými skupinami a </w:t>
      </w:r>
      <w:r w:rsidR="00506D5E">
        <w:rPr>
          <w:i/>
        </w:rPr>
        <w:t>jinými</w:t>
      </w:r>
      <w:r w:rsidR="00BD7C57">
        <w:rPr>
          <w:i/>
        </w:rPr>
        <w:t xml:space="preserve"> zařízeními ve městě a </w:t>
      </w:r>
      <w:r w:rsidR="006A0091">
        <w:rPr>
          <w:i/>
        </w:rPr>
        <w:t>podobně</w:t>
      </w:r>
      <w:r w:rsidR="00BD7C57">
        <w:rPr>
          <w:i/>
        </w:rPr>
        <w:t>.</w:t>
      </w:r>
      <w:r w:rsidR="00F379DE">
        <w:rPr>
          <w:i/>
        </w:rPr>
        <w:t xml:space="preserve"> Snažíme se také poskytovat psych</w:t>
      </w:r>
      <w:r w:rsidR="00BA4A34">
        <w:rPr>
          <w:i/>
        </w:rPr>
        <w:t>ickou podporu a osvětu rodinným příslušníkům a zapojit je tak do péče.</w:t>
      </w:r>
      <w:r w:rsidR="00BD7C57">
        <w:rPr>
          <w:i/>
        </w:rPr>
        <w:t>“</w:t>
      </w:r>
    </w:p>
    <w:p w14:paraId="394F4BCC" w14:textId="77777777" w:rsidR="00506D5E" w:rsidRDefault="00506D5E" w:rsidP="00BD7C57">
      <w:pPr>
        <w:spacing w:after="0" w:line="240" w:lineRule="auto"/>
        <w:jc w:val="both"/>
      </w:pPr>
    </w:p>
    <w:p w14:paraId="2EC521B6" w14:textId="77777777" w:rsidR="00506D5E" w:rsidRDefault="00506D5E" w:rsidP="00BD7C57">
      <w:pPr>
        <w:spacing w:after="0" w:line="240" w:lineRule="auto"/>
        <w:jc w:val="both"/>
      </w:pPr>
    </w:p>
    <w:p w14:paraId="5CACF321" w14:textId="7E200DFA" w:rsidR="00506D5E" w:rsidRDefault="00506D5E" w:rsidP="00BD7C57">
      <w:pPr>
        <w:spacing w:after="0" w:line="240" w:lineRule="auto"/>
        <w:jc w:val="both"/>
      </w:pPr>
      <w:r>
        <w:t>Zdroje:</w:t>
      </w:r>
    </w:p>
    <w:p w14:paraId="5236CD80" w14:textId="0760AF25" w:rsidR="00506D5E" w:rsidRDefault="006C3B1B" w:rsidP="00BD7C57">
      <w:pPr>
        <w:spacing w:after="0" w:line="240" w:lineRule="auto"/>
        <w:jc w:val="both"/>
      </w:pPr>
      <w:hyperlink r:id="rId8" w:history="1">
        <w:r w:rsidR="00506D5E" w:rsidRPr="0089645A">
          <w:rPr>
            <w:rStyle w:val="Hypertextovodkaz"/>
          </w:rPr>
          <w:t>http://who.int/mediacentre/news/releases/2017/dementia-triple-affected/en/</w:t>
        </w:r>
      </w:hyperlink>
    </w:p>
    <w:p w14:paraId="07B5EF37" w14:textId="232BCC00" w:rsidR="00506D5E" w:rsidRDefault="006C3B1B" w:rsidP="00BD7C57">
      <w:pPr>
        <w:spacing w:after="0" w:line="240" w:lineRule="auto"/>
        <w:jc w:val="both"/>
      </w:pPr>
      <w:hyperlink r:id="rId9" w:history="1">
        <w:r w:rsidR="00506D5E" w:rsidRPr="0089645A">
          <w:rPr>
            <w:rStyle w:val="Hypertextovodkaz"/>
          </w:rPr>
          <w:t>http://www.alzheimer.cz/</w:t>
        </w:r>
      </w:hyperlink>
    </w:p>
    <w:p w14:paraId="5DDEEF71" w14:textId="2198CDE8" w:rsidR="00373A35" w:rsidRPr="00506D5E" w:rsidRDefault="006C3B1B" w:rsidP="00506D5E">
      <w:pPr>
        <w:spacing w:after="0" w:line="240" w:lineRule="auto"/>
        <w:jc w:val="both"/>
      </w:pPr>
      <w:hyperlink r:id="rId10" w:history="1">
        <w:r w:rsidR="00506D5E" w:rsidRPr="0089645A">
          <w:rPr>
            <w:rStyle w:val="Hypertextovodkaz"/>
          </w:rPr>
          <w:t>http://www.ceskenoviny.cz/zpravy/namestkyne-mpsv-domovy-pro-seniory-se-v-cr-nedari-zlidstovat/1531011</w:t>
        </w:r>
      </w:hyperlink>
    </w:p>
    <w:p w14:paraId="00747A3B" w14:textId="77777777" w:rsidR="00373A35" w:rsidRDefault="00373A35" w:rsidP="00613C41">
      <w:pPr>
        <w:jc w:val="both"/>
        <w:rPr>
          <w:rFonts w:cstheme="minorHAnsi"/>
          <w:color w:val="767171" w:themeColor="background2" w:themeShade="80"/>
          <w:sz w:val="20"/>
          <w:szCs w:val="20"/>
        </w:rPr>
      </w:pPr>
    </w:p>
    <w:p w14:paraId="6F2E17A3" w14:textId="77777777" w:rsidR="004E4CB9" w:rsidRPr="004E4CB9" w:rsidRDefault="004E4CB9" w:rsidP="004E4CB9">
      <w:pPr>
        <w:jc w:val="both"/>
        <w:rPr>
          <w:rFonts w:ascii="Calibri" w:hAnsi="Calibri" w:cs="Calibri"/>
          <w:bCs/>
          <w:color w:val="A6A6A6" w:themeColor="background1" w:themeShade="A6"/>
          <w:sz w:val="20"/>
          <w:szCs w:val="20"/>
        </w:rPr>
      </w:pPr>
      <w:r w:rsidRPr="004E4CB9">
        <w:rPr>
          <w:rFonts w:ascii="Calibri" w:hAnsi="Calibri" w:cs="Calibri"/>
          <w:bCs/>
          <w:color w:val="A6A6A6" w:themeColor="background1" w:themeShade="A6"/>
          <w:sz w:val="20"/>
          <w:szCs w:val="20"/>
        </w:rPr>
        <w:t>O společnosti SeneCura</w:t>
      </w:r>
    </w:p>
    <w:p w14:paraId="564DBA7B" w14:textId="555E0237" w:rsidR="004E4CB9" w:rsidRPr="004E4CB9" w:rsidRDefault="004E4CB9" w:rsidP="004E4CB9">
      <w:pPr>
        <w:jc w:val="both"/>
        <w:rPr>
          <w:rFonts w:ascii="Calibri" w:hAnsi="Calibri" w:cs="Calibri"/>
          <w:bCs/>
          <w:color w:val="A6A6A6" w:themeColor="background1" w:themeShade="A6"/>
          <w:sz w:val="20"/>
          <w:szCs w:val="20"/>
        </w:rPr>
      </w:pPr>
      <w:r w:rsidRPr="004E4CB9">
        <w:rPr>
          <w:rFonts w:ascii="Calibri" w:hAnsi="Calibri" w:cs="Calibri"/>
          <w:bCs/>
          <w:color w:val="A6A6A6" w:themeColor="background1" w:themeShade="A6"/>
          <w:sz w:val="20"/>
          <w:szCs w:val="20"/>
        </w:rPr>
        <w:t xml:space="preserve">Společnost SeneCura je s 6 800 lůžky a </w:t>
      </w:r>
      <w:r w:rsidR="00ED1134">
        <w:rPr>
          <w:rFonts w:ascii="Calibri" w:hAnsi="Calibri" w:cs="Calibri"/>
          <w:bCs/>
          <w:color w:val="A6A6A6" w:themeColor="background1" w:themeShade="A6"/>
          <w:sz w:val="20"/>
          <w:szCs w:val="20"/>
        </w:rPr>
        <w:t>80</w:t>
      </w:r>
      <w:r w:rsidR="00ED1134" w:rsidRPr="004E4CB9">
        <w:rPr>
          <w:rFonts w:ascii="Calibri" w:hAnsi="Calibri" w:cs="Calibri"/>
          <w:bCs/>
          <w:color w:val="A6A6A6" w:themeColor="background1" w:themeShade="A6"/>
          <w:sz w:val="20"/>
          <w:szCs w:val="20"/>
        </w:rPr>
        <w:t xml:space="preserve"> </w:t>
      </w:r>
      <w:r w:rsidRPr="004E4CB9">
        <w:rPr>
          <w:rFonts w:ascii="Calibri" w:hAnsi="Calibri" w:cs="Calibri"/>
          <w:bCs/>
          <w:color w:val="A6A6A6" w:themeColor="background1" w:themeShade="A6"/>
          <w:sz w:val="20"/>
          <w:szCs w:val="20"/>
        </w:rPr>
        <w:t xml:space="preserve">sociálními a zdravotnickými zařízeními přední privátní poskytovatel péče v Rakousku a je držitelem mnohonásobného ocenění za kvalitu a inovaci. Svou kompetencí a dlouholetou zkušeností v oblasti péče poskytuje jistotu i klientům v České republice, ve které je SeneCura největším soukromým provozovatelem domovů pro seniory se špičkovou zdravotní a sociální péčí včetně péče o seniory trpící demencí. SeneCura Česká republika v současné době provozuje 12 </w:t>
      </w:r>
      <w:proofErr w:type="spellStart"/>
      <w:r w:rsidRPr="004E4CB9">
        <w:rPr>
          <w:rFonts w:ascii="Calibri" w:hAnsi="Calibri" w:cs="Calibri"/>
          <w:bCs/>
          <w:color w:val="A6A6A6" w:themeColor="background1" w:themeShade="A6"/>
          <w:sz w:val="20"/>
          <w:szCs w:val="20"/>
        </w:rPr>
        <w:t>SeniorCenter</w:t>
      </w:r>
      <w:proofErr w:type="spellEnd"/>
      <w:r w:rsidRPr="004E4CB9">
        <w:rPr>
          <w:rFonts w:ascii="Calibri" w:hAnsi="Calibri" w:cs="Calibri"/>
          <w:bCs/>
          <w:color w:val="A6A6A6" w:themeColor="background1" w:themeShade="A6"/>
          <w:sz w:val="20"/>
          <w:szCs w:val="20"/>
        </w:rPr>
        <w:t>. SeneCura je součástí francouzské skupiny ORPEA, která v mezinárodním měřítku provozuje téměř 80 zdravotnických a sociálních zařízení.</w:t>
      </w:r>
      <w:r w:rsidR="00ED1134">
        <w:rPr>
          <w:rFonts w:ascii="Calibri" w:hAnsi="Calibri" w:cs="Calibri"/>
          <w:bCs/>
          <w:color w:val="A6A6A6" w:themeColor="background1" w:themeShade="A6"/>
          <w:sz w:val="20"/>
          <w:szCs w:val="20"/>
        </w:rPr>
        <w:t xml:space="preserve"> </w:t>
      </w:r>
      <w:hyperlink r:id="rId11" w:history="1">
        <w:r w:rsidR="00ED1134" w:rsidRPr="00B51ED7">
          <w:rPr>
            <w:rStyle w:val="Hypertextovodkaz"/>
            <w:rFonts w:ascii="Calibri" w:hAnsi="Calibri" w:cs="Calibri"/>
            <w:bCs/>
            <w:sz w:val="20"/>
            <w:szCs w:val="20"/>
          </w:rPr>
          <w:t>www.senecura.cz</w:t>
        </w:r>
      </w:hyperlink>
      <w:r w:rsidR="00ED1134">
        <w:rPr>
          <w:rFonts w:ascii="Calibri" w:hAnsi="Calibri" w:cs="Calibri"/>
          <w:bCs/>
          <w:color w:val="A6A6A6" w:themeColor="background1" w:themeShade="A6"/>
          <w:sz w:val="20"/>
          <w:szCs w:val="20"/>
        </w:rPr>
        <w:t xml:space="preserve"> </w:t>
      </w:r>
    </w:p>
    <w:p w14:paraId="1690DB60" w14:textId="277C6F06" w:rsidR="00B831D9" w:rsidRPr="0075458B" w:rsidRDefault="00B831D9" w:rsidP="004E4CB9">
      <w:pPr>
        <w:jc w:val="both"/>
        <w:rPr>
          <w:rFonts w:cstheme="minorHAnsi"/>
          <w:color w:val="767171" w:themeColor="background2" w:themeShade="80"/>
          <w:sz w:val="20"/>
          <w:szCs w:val="20"/>
        </w:rPr>
      </w:pPr>
    </w:p>
    <w:sectPr w:rsidR="00B831D9" w:rsidRPr="0075458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B011A" w14:textId="77777777" w:rsidR="006C3B1B" w:rsidRDefault="006C3B1B" w:rsidP="008B2785">
      <w:pPr>
        <w:spacing w:after="0" w:line="240" w:lineRule="auto"/>
      </w:pPr>
      <w:r>
        <w:separator/>
      </w:r>
    </w:p>
  </w:endnote>
  <w:endnote w:type="continuationSeparator" w:id="0">
    <w:p w14:paraId="7403EBF3" w14:textId="77777777" w:rsidR="006C3B1B" w:rsidRDefault="006C3B1B" w:rsidP="008B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1044" w14:textId="2A00108D" w:rsidR="008B2785" w:rsidRPr="004253AA" w:rsidRDefault="008B2785">
    <w:pPr>
      <w:pStyle w:val="Zpat"/>
      <w:rPr>
        <w:b/>
        <w:sz w:val="18"/>
        <w:szCs w:val="18"/>
      </w:rPr>
    </w:pPr>
    <w:r w:rsidRPr="004253AA">
      <w:rPr>
        <w:b/>
        <w:sz w:val="18"/>
        <w:szCs w:val="18"/>
      </w:rPr>
      <w:t>Kontakt pro média</w:t>
    </w:r>
  </w:p>
  <w:p w14:paraId="40F7A192" w14:textId="4754E2B7" w:rsidR="008B2785" w:rsidRPr="004253AA" w:rsidRDefault="008B2785">
    <w:pPr>
      <w:pStyle w:val="Zpat"/>
      <w:rPr>
        <w:sz w:val="18"/>
        <w:szCs w:val="18"/>
      </w:rPr>
    </w:pPr>
    <w:r w:rsidRPr="004253AA">
      <w:rPr>
        <w:sz w:val="18"/>
        <w:szCs w:val="18"/>
      </w:rPr>
      <w:t>Michaela Kopřivová                                             Barbora Šmýrová</w:t>
    </w:r>
  </w:p>
  <w:p w14:paraId="3199B68D" w14:textId="4ABD795A" w:rsidR="008B2785" w:rsidRPr="004253AA" w:rsidRDefault="008B2785">
    <w:pPr>
      <w:pStyle w:val="Zpat"/>
      <w:rPr>
        <w:sz w:val="18"/>
        <w:szCs w:val="18"/>
      </w:rPr>
    </w:pPr>
    <w:r w:rsidRPr="004253AA">
      <w:rPr>
        <w:sz w:val="18"/>
        <w:szCs w:val="18"/>
      </w:rPr>
      <w:t xml:space="preserve">SeneCura                                                           </w:t>
    </w:r>
    <w:r w:rsidR="0075458B" w:rsidRPr="004253AA">
      <w:rPr>
        <w:sz w:val="18"/>
        <w:szCs w:val="18"/>
      </w:rPr>
      <w:t xml:space="preserve">    </w:t>
    </w:r>
    <w:r w:rsidRPr="004253AA">
      <w:rPr>
        <w:sz w:val="18"/>
        <w:szCs w:val="18"/>
      </w:rPr>
      <w:t xml:space="preserve">Taktiq </w:t>
    </w:r>
    <w:r w:rsidR="009E2D3E" w:rsidRPr="004253AA">
      <w:rPr>
        <w:sz w:val="18"/>
        <w:szCs w:val="18"/>
      </w:rPr>
      <w:t>C</w:t>
    </w:r>
    <w:r w:rsidRPr="004253AA">
      <w:rPr>
        <w:sz w:val="18"/>
        <w:szCs w:val="18"/>
      </w:rPr>
      <w:t xml:space="preserve">ommunications s.r.o.                                            </w:t>
    </w:r>
  </w:p>
  <w:p w14:paraId="787DABA8" w14:textId="6E51296C" w:rsidR="008B2785" w:rsidRPr="004253AA" w:rsidRDefault="006C3B1B">
    <w:pPr>
      <w:pStyle w:val="Zpat"/>
      <w:rPr>
        <w:sz w:val="18"/>
        <w:szCs w:val="18"/>
      </w:rPr>
    </w:pPr>
    <w:hyperlink r:id="rId1" w:history="1">
      <w:r w:rsidR="00102FF3" w:rsidRPr="004253AA">
        <w:rPr>
          <w:rStyle w:val="Hypertextovodkaz"/>
          <w:sz w:val="18"/>
          <w:szCs w:val="18"/>
        </w:rPr>
        <w:t>m.koprivova</w:t>
      </w:r>
      <w:r w:rsidR="00102FF3" w:rsidRPr="004253AA">
        <w:rPr>
          <w:rStyle w:val="Hypertextovodkaz"/>
          <w:rFonts w:cstheme="minorHAnsi"/>
          <w:sz w:val="18"/>
          <w:szCs w:val="18"/>
        </w:rPr>
        <w:t>@</w:t>
      </w:r>
      <w:r w:rsidR="00102FF3" w:rsidRPr="004253AA">
        <w:rPr>
          <w:rStyle w:val="Hypertextovodkaz"/>
          <w:sz w:val="18"/>
          <w:szCs w:val="18"/>
        </w:rPr>
        <w:t>sen</w:t>
      </w:r>
      <w:r w:rsidR="00102FF3" w:rsidRPr="00434859">
        <w:rPr>
          <w:rStyle w:val="Hypertextovodkaz"/>
          <w:sz w:val="18"/>
          <w:szCs w:val="18"/>
        </w:rPr>
        <w:t>ecura</w:t>
      </w:r>
      <w:r w:rsidR="00102FF3" w:rsidRPr="004253AA">
        <w:rPr>
          <w:rStyle w:val="Hypertextovodkaz"/>
          <w:sz w:val="18"/>
          <w:szCs w:val="18"/>
        </w:rPr>
        <w:t>.cz</w:t>
      </w:r>
    </w:hyperlink>
    <w:r w:rsidR="008B2785" w:rsidRPr="004253AA">
      <w:rPr>
        <w:sz w:val="18"/>
        <w:szCs w:val="18"/>
      </w:rPr>
      <w:t xml:space="preserve">                        </w:t>
    </w:r>
    <w:r w:rsidR="004253AA">
      <w:rPr>
        <w:sz w:val="18"/>
        <w:szCs w:val="18"/>
      </w:rPr>
      <w:t xml:space="preserve">        </w:t>
    </w:r>
    <w:r w:rsidR="008B2785" w:rsidRPr="004253AA">
      <w:rPr>
        <w:sz w:val="18"/>
        <w:szCs w:val="18"/>
      </w:rPr>
      <w:t xml:space="preserve"> </w:t>
    </w:r>
    <w:hyperlink r:id="rId2" w:history="1">
      <w:r w:rsidR="008B2785" w:rsidRPr="004253AA">
        <w:rPr>
          <w:rStyle w:val="Hypertextovodkaz"/>
          <w:sz w:val="18"/>
          <w:szCs w:val="18"/>
        </w:rPr>
        <w:t>barbora.smyrova</w:t>
      </w:r>
      <w:r w:rsidR="008B2785" w:rsidRPr="004253AA">
        <w:rPr>
          <w:rStyle w:val="Hypertextovodkaz"/>
          <w:rFonts w:cstheme="minorHAnsi"/>
          <w:sz w:val="18"/>
          <w:szCs w:val="18"/>
        </w:rPr>
        <w:t>@</w:t>
      </w:r>
      <w:r w:rsidR="008B2785" w:rsidRPr="004253AA">
        <w:rPr>
          <w:rStyle w:val="Hypertextovodkaz"/>
          <w:sz w:val="18"/>
          <w:szCs w:val="18"/>
        </w:rPr>
        <w:t>taktiq.com</w:t>
      </w:r>
    </w:hyperlink>
  </w:p>
  <w:p w14:paraId="3F54B5BC" w14:textId="091E243D" w:rsidR="008B2785" w:rsidRPr="004253AA" w:rsidRDefault="008B2785">
    <w:pPr>
      <w:pStyle w:val="Zpat"/>
      <w:rPr>
        <w:sz w:val="18"/>
        <w:szCs w:val="18"/>
      </w:rPr>
    </w:pPr>
    <w:r w:rsidRPr="004253AA">
      <w:rPr>
        <w:sz w:val="18"/>
        <w:szCs w:val="18"/>
      </w:rPr>
      <w:t>+420 608 774 323                                                 +420 739 464 855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FB51" w14:textId="77777777" w:rsidR="006C3B1B" w:rsidRDefault="006C3B1B" w:rsidP="008B2785">
      <w:pPr>
        <w:spacing w:after="0" w:line="240" w:lineRule="auto"/>
      </w:pPr>
      <w:r>
        <w:separator/>
      </w:r>
    </w:p>
  </w:footnote>
  <w:footnote w:type="continuationSeparator" w:id="0">
    <w:p w14:paraId="6B098C49" w14:textId="77777777" w:rsidR="006C3B1B" w:rsidRDefault="006C3B1B" w:rsidP="008B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4803F" w14:textId="1B55C221" w:rsidR="008B2785" w:rsidRDefault="00BA4A34">
    <w:pPr>
      <w:pStyle w:val="Zhlav"/>
    </w:pPr>
    <w:r>
      <w:rPr>
        <w:rFonts w:ascii="Arial" w:hAnsi="Arial" w:cs="Arial"/>
        <w:b/>
        <w:bCs/>
        <w:noProof/>
        <w:color w:val="1F497D"/>
        <w:sz w:val="20"/>
        <w:szCs w:val="20"/>
        <w:lang w:eastAsia="cs-CZ"/>
      </w:rPr>
      <w:drawing>
        <wp:anchor distT="0" distB="0" distL="114300" distR="114300" simplePos="0" relativeHeight="251660288" behindDoc="1" locked="0" layoutInCell="1" allowOverlap="1" wp14:anchorId="3F32C67F" wp14:editId="39230358">
          <wp:simplePos x="0" y="0"/>
          <wp:positionH relativeFrom="column">
            <wp:posOffset>2129155</wp:posOffset>
          </wp:positionH>
          <wp:positionV relativeFrom="paragraph">
            <wp:posOffset>-281305</wp:posOffset>
          </wp:positionV>
          <wp:extent cx="1190625" cy="716915"/>
          <wp:effectExtent l="0" t="0" r="9525" b="6985"/>
          <wp:wrapTight wrapText="bothSides">
            <wp:wrapPolygon edited="0">
              <wp:start x="0" y="0"/>
              <wp:lineTo x="0" y="21236"/>
              <wp:lineTo x="21427" y="21236"/>
              <wp:lineTo x="21427" y="0"/>
              <wp:lineTo x="0" y="0"/>
            </wp:wrapPolygon>
          </wp:wrapTight>
          <wp:docPr id="2" name="Obrázek 2" descr="cid:image002.png@01D362CE.B9B9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62CE.B9B925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0625" cy="716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05C6F"/>
    <w:multiLevelType w:val="hybridMultilevel"/>
    <w:tmpl w:val="9ED0236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7F"/>
    <w:rsid w:val="00097069"/>
    <w:rsid w:val="000C31B3"/>
    <w:rsid w:val="000E371A"/>
    <w:rsid w:val="00102FF3"/>
    <w:rsid w:val="00112692"/>
    <w:rsid w:val="0013204F"/>
    <w:rsid w:val="0013501B"/>
    <w:rsid w:val="0017169C"/>
    <w:rsid w:val="00183CB6"/>
    <w:rsid w:val="001C633B"/>
    <w:rsid w:val="001E1DA2"/>
    <w:rsid w:val="00216F60"/>
    <w:rsid w:val="002245B0"/>
    <w:rsid w:val="0022607C"/>
    <w:rsid w:val="00271ACE"/>
    <w:rsid w:val="00283F80"/>
    <w:rsid w:val="002B5650"/>
    <w:rsid w:val="003124C2"/>
    <w:rsid w:val="00324499"/>
    <w:rsid w:val="00353276"/>
    <w:rsid w:val="00360ECD"/>
    <w:rsid w:val="003666BA"/>
    <w:rsid w:val="00372D0E"/>
    <w:rsid w:val="00373A35"/>
    <w:rsid w:val="00382D88"/>
    <w:rsid w:val="003A4783"/>
    <w:rsid w:val="003C2283"/>
    <w:rsid w:val="004253AA"/>
    <w:rsid w:val="004433B4"/>
    <w:rsid w:val="004562B2"/>
    <w:rsid w:val="004E4CB9"/>
    <w:rsid w:val="004E6712"/>
    <w:rsid w:val="00506D5E"/>
    <w:rsid w:val="00512F7D"/>
    <w:rsid w:val="00585403"/>
    <w:rsid w:val="0058797E"/>
    <w:rsid w:val="005B6A1D"/>
    <w:rsid w:val="005D2ABF"/>
    <w:rsid w:val="005E5B18"/>
    <w:rsid w:val="00606688"/>
    <w:rsid w:val="00613C41"/>
    <w:rsid w:val="00685A96"/>
    <w:rsid w:val="006A0091"/>
    <w:rsid w:val="006A0B0B"/>
    <w:rsid w:val="006A255C"/>
    <w:rsid w:val="006C3B1B"/>
    <w:rsid w:val="006F444F"/>
    <w:rsid w:val="007374FC"/>
    <w:rsid w:val="0075458B"/>
    <w:rsid w:val="007D4E00"/>
    <w:rsid w:val="00826804"/>
    <w:rsid w:val="00836F3C"/>
    <w:rsid w:val="008B2785"/>
    <w:rsid w:val="008D45B1"/>
    <w:rsid w:val="009448FD"/>
    <w:rsid w:val="00952A8F"/>
    <w:rsid w:val="00966259"/>
    <w:rsid w:val="009E2D3E"/>
    <w:rsid w:val="009F371E"/>
    <w:rsid w:val="00A44443"/>
    <w:rsid w:val="00A76B13"/>
    <w:rsid w:val="00A82CE9"/>
    <w:rsid w:val="00A85725"/>
    <w:rsid w:val="00A961BA"/>
    <w:rsid w:val="00AF4BB3"/>
    <w:rsid w:val="00B273E9"/>
    <w:rsid w:val="00B5610F"/>
    <w:rsid w:val="00B831D9"/>
    <w:rsid w:val="00BA21A8"/>
    <w:rsid w:val="00BA4A34"/>
    <w:rsid w:val="00BD7C57"/>
    <w:rsid w:val="00C65FE9"/>
    <w:rsid w:val="00C834D0"/>
    <w:rsid w:val="00CA4E41"/>
    <w:rsid w:val="00CF467F"/>
    <w:rsid w:val="00D25A7D"/>
    <w:rsid w:val="00D27659"/>
    <w:rsid w:val="00D93C5F"/>
    <w:rsid w:val="00DA7339"/>
    <w:rsid w:val="00DC1E06"/>
    <w:rsid w:val="00DC2897"/>
    <w:rsid w:val="00ED1134"/>
    <w:rsid w:val="00EF2C82"/>
    <w:rsid w:val="00F14F5D"/>
    <w:rsid w:val="00F20E03"/>
    <w:rsid w:val="00F379DE"/>
    <w:rsid w:val="00F55ABB"/>
    <w:rsid w:val="00F62270"/>
    <w:rsid w:val="00F8122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8B44B"/>
  <w15:docId w15:val="{4BB42560-03CD-4DC5-A8A4-E4755206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B27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2785"/>
  </w:style>
  <w:style w:type="paragraph" w:styleId="Zpat">
    <w:name w:val="footer"/>
    <w:basedOn w:val="Normln"/>
    <w:link w:val="ZpatChar"/>
    <w:uiPriority w:val="99"/>
    <w:unhideWhenUsed/>
    <w:rsid w:val="008B2785"/>
    <w:pPr>
      <w:tabs>
        <w:tab w:val="center" w:pos="4536"/>
        <w:tab w:val="right" w:pos="9072"/>
      </w:tabs>
      <w:spacing w:after="0" w:line="240" w:lineRule="auto"/>
    </w:pPr>
  </w:style>
  <w:style w:type="character" w:customStyle="1" w:styleId="ZpatChar">
    <w:name w:val="Zápatí Char"/>
    <w:basedOn w:val="Standardnpsmoodstavce"/>
    <w:link w:val="Zpat"/>
    <w:uiPriority w:val="99"/>
    <w:rsid w:val="008B2785"/>
  </w:style>
  <w:style w:type="character" w:styleId="Hypertextovodkaz">
    <w:name w:val="Hyperlink"/>
    <w:basedOn w:val="Standardnpsmoodstavce"/>
    <w:uiPriority w:val="99"/>
    <w:unhideWhenUsed/>
    <w:rsid w:val="008B2785"/>
    <w:rPr>
      <w:color w:val="0563C1" w:themeColor="hyperlink"/>
      <w:u w:val="single"/>
    </w:rPr>
  </w:style>
  <w:style w:type="character" w:customStyle="1" w:styleId="Nevyeenzmnka1">
    <w:name w:val="Nevyřešená zmínka1"/>
    <w:basedOn w:val="Standardnpsmoodstavce"/>
    <w:uiPriority w:val="99"/>
    <w:semiHidden/>
    <w:unhideWhenUsed/>
    <w:rsid w:val="008B2785"/>
    <w:rPr>
      <w:color w:val="808080"/>
      <w:shd w:val="clear" w:color="auto" w:fill="E6E6E6"/>
    </w:rPr>
  </w:style>
  <w:style w:type="paragraph" w:styleId="Textbubliny">
    <w:name w:val="Balloon Text"/>
    <w:basedOn w:val="Normln"/>
    <w:link w:val="TextbublinyChar"/>
    <w:uiPriority w:val="99"/>
    <w:semiHidden/>
    <w:unhideWhenUsed/>
    <w:rsid w:val="009E2D3E"/>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9E2D3E"/>
    <w:rPr>
      <w:rFonts w:ascii="Lucida Grande CE" w:hAnsi="Lucida Grande CE" w:cs="Lucida Grande CE"/>
      <w:sz w:val="18"/>
      <w:szCs w:val="18"/>
    </w:rPr>
  </w:style>
  <w:style w:type="character" w:styleId="Odkaznakoment">
    <w:name w:val="annotation reference"/>
    <w:basedOn w:val="Standardnpsmoodstavce"/>
    <w:uiPriority w:val="99"/>
    <w:semiHidden/>
    <w:unhideWhenUsed/>
    <w:rsid w:val="009E2D3E"/>
    <w:rPr>
      <w:sz w:val="18"/>
      <w:szCs w:val="18"/>
    </w:rPr>
  </w:style>
  <w:style w:type="paragraph" w:styleId="Textkomente">
    <w:name w:val="annotation text"/>
    <w:basedOn w:val="Normln"/>
    <w:link w:val="TextkomenteChar"/>
    <w:uiPriority w:val="99"/>
    <w:semiHidden/>
    <w:unhideWhenUsed/>
    <w:rsid w:val="009E2D3E"/>
    <w:pPr>
      <w:spacing w:line="240" w:lineRule="auto"/>
    </w:pPr>
    <w:rPr>
      <w:sz w:val="24"/>
      <w:szCs w:val="24"/>
    </w:rPr>
  </w:style>
  <w:style w:type="character" w:customStyle="1" w:styleId="TextkomenteChar">
    <w:name w:val="Text komentáře Char"/>
    <w:basedOn w:val="Standardnpsmoodstavce"/>
    <w:link w:val="Textkomente"/>
    <w:uiPriority w:val="99"/>
    <w:semiHidden/>
    <w:rsid w:val="009E2D3E"/>
    <w:rPr>
      <w:sz w:val="24"/>
      <w:szCs w:val="24"/>
    </w:rPr>
  </w:style>
  <w:style w:type="paragraph" w:styleId="Pedmtkomente">
    <w:name w:val="annotation subject"/>
    <w:basedOn w:val="Textkomente"/>
    <w:next w:val="Textkomente"/>
    <w:link w:val="PedmtkomenteChar"/>
    <w:uiPriority w:val="99"/>
    <w:semiHidden/>
    <w:unhideWhenUsed/>
    <w:rsid w:val="009E2D3E"/>
    <w:rPr>
      <w:b/>
      <w:bCs/>
      <w:sz w:val="20"/>
      <w:szCs w:val="20"/>
    </w:rPr>
  </w:style>
  <w:style w:type="character" w:customStyle="1" w:styleId="PedmtkomenteChar">
    <w:name w:val="Předmět komentáře Char"/>
    <w:basedOn w:val="TextkomenteChar"/>
    <w:link w:val="Pedmtkomente"/>
    <w:uiPriority w:val="99"/>
    <w:semiHidden/>
    <w:rsid w:val="009E2D3E"/>
    <w:rPr>
      <w:b/>
      <w:bCs/>
      <w:sz w:val="20"/>
      <w:szCs w:val="20"/>
    </w:rPr>
  </w:style>
  <w:style w:type="character" w:customStyle="1" w:styleId="Nevyeenzmnka2">
    <w:name w:val="Nevyřešená zmínka2"/>
    <w:basedOn w:val="Standardnpsmoodstavce"/>
    <w:uiPriority w:val="99"/>
    <w:semiHidden/>
    <w:unhideWhenUsed/>
    <w:rsid w:val="0075458B"/>
    <w:rPr>
      <w:color w:val="808080"/>
      <w:shd w:val="clear" w:color="auto" w:fill="E6E6E6"/>
    </w:rPr>
  </w:style>
  <w:style w:type="character" w:customStyle="1" w:styleId="Nevyeenzmnka3">
    <w:name w:val="Nevyřešená zmínka3"/>
    <w:basedOn w:val="Standardnpsmoodstavce"/>
    <w:uiPriority w:val="99"/>
    <w:semiHidden/>
    <w:unhideWhenUsed/>
    <w:rsid w:val="00373A35"/>
    <w:rPr>
      <w:color w:val="808080"/>
      <w:shd w:val="clear" w:color="auto" w:fill="E6E6E6"/>
    </w:rPr>
  </w:style>
  <w:style w:type="character" w:styleId="Siln">
    <w:name w:val="Strong"/>
    <w:basedOn w:val="Standardnpsmoodstavce"/>
    <w:uiPriority w:val="22"/>
    <w:qFormat/>
    <w:rsid w:val="00B273E9"/>
    <w:rPr>
      <w:b/>
      <w:bCs/>
    </w:rPr>
  </w:style>
  <w:style w:type="character" w:styleId="Sledovanodkaz">
    <w:name w:val="FollowedHyperlink"/>
    <w:basedOn w:val="Standardnpsmoodstavce"/>
    <w:uiPriority w:val="99"/>
    <w:semiHidden/>
    <w:unhideWhenUsed/>
    <w:rsid w:val="00271ACE"/>
    <w:rPr>
      <w:color w:val="954F72" w:themeColor="followedHyperlink"/>
      <w:u w:val="single"/>
    </w:rPr>
  </w:style>
  <w:style w:type="character" w:customStyle="1" w:styleId="Nevyeenzmnka4">
    <w:name w:val="Nevyřešená zmínka4"/>
    <w:basedOn w:val="Standardnpsmoodstavce"/>
    <w:uiPriority w:val="99"/>
    <w:semiHidden/>
    <w:unhideWhenUsed/>
    <w:rsid w:val="00102F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1672">
      <w:bodyDiv w:val="1"/>
      <w:marLeft w:val="0"/>
      <w:marRight w:val="0"/>
      <w:marTop w:val="0"/>
      <w:marBottom w:val="0"/>
      <w:divBdr>
        <w:top w:val="none" w:sz="0" w:space="0" w:color="auto"/>
        <w:left w:val="none" w:sz="0" w:space="0" w:color="auto"/>
        <w:bottom w:val="none" w:sz="0" w:space="0" w:color="auto"/>
        <w:right w:val="none" w:sz="0" w:space="0" w:color="auto"/>
      </w:divBdr>
    </w:div>
    <w:div w:id="187304353">
      <w:bodyDiv w:val="1"/>
      <w:marLeft w:val="0"/>
      <w:marRight w:val="0"/>
      <w:marTop w:val="0"/>
      <w:marBottom w:val="0"/>
      <w:divBdr>
        <w:top w:val="none" w:sz="0" w:space="0" w:color="auto"/>
        <w:left w:val="none" w:sz="0" w:space="0" w:color="auto"/>
        <w:bottom w:val="none" w:sz="0" w:space="0" w:color="auto"/>
        <w:right w:val="none" w:sz="0" w:space="0" w:color="auto"/>
      </w:divBdr>
    </w:div>
    <w:div w:id="211235810">
      <w:bodyDiv w:val="1"/>
      <w:marLeft w:val="0"/>
      <w:marRight w:val="0"/>
      <w:marTop w:val="0"/>
      <w:marBottom w:val="0"/>
      <w:divBdr>
        <w:top w:val="none" w:sz="0" w:space="0" w:color="auto"/>
        <w:left w:val="none" w:sz="0" w:space="0" w:color="auto"/>
        <w:bottom w:val="none" w:sz="0" w:space="0" w:color="auto"/>
        <w:right w:val="none" w:sz="0" w:space="0" w:color="auto"/>
      </w:divBdr>
    </w:div>
    <w:div w:id="538055445">
      <w:bodyDiv w:val="1"/>
      <w:marLeft w:val="0"/>
      <w:marRight w:val="0"/>
      <w:marTop w:val="0"/>
      <w:marBottom w:val="0"/>
      <w:divBdr>
        <w:top w:val="none" w:sz="0" w:space="0" w:color="auto"/>
        <w:left w:val="none" w:sz="0" w:space="0" w:color="auto"/>
        <w:bottom w:val="none" w:sz="0" w:space="0" w:color="auto"/>
        <w:right w:val="none" w:sz="0" w:space="0" w:color="auto"/>
      </w:divBdr>
    </w:div>
    <w:div w:id="639769776">
      <w:bodyDiv w:val="1"/>
      <w:marLeft w:val="0"/>
      <w:marRight w:val="0"/>
      <w:marTop w:val="0"/>
      <w:marBottom w:val="0"/>
      <w:divBdr>
        <w:top w:val="none" w:sz="0" w:space="0" w:color="auto"/>
        <w:left w:val="none" w:sz="0" w:space="0" w:color="auto"/>
        <w:bottom w:val="none" w:sz="0" w:space="0" w:color="auto"/>
        <w:right w:val="none" w:sz="0" w:space="0" w:color="auto"/>
      </w:divBdr>
    </w:div>
    <w:div w:id="1207261108">
      <w:bodyDiv w:val="1"/>
      <w:marLeft w:val="0"/>
      <w:marRight w:val="0"/>
      <w:marTop w:val="0"/>
      <w:marBottom w:val="0"/>
      <w:divBdr>
        <w:top w:val="none" w:sz="0" w:space="0" w:color="auto"/>
        <w:left w:val="none" w:sz="0" w:space="0" w:color="auto"/>
        <w:bottom w:val="none" w:sz="0" w:space="0" w:color="auto"/>
        <w:right w:val="none" w:sz="0" w:space="0" w:color="auto"/>
      </w:divBdr>
    </w:div>
    <w:div w:id="16037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o.int/mediacentre/news/releases/2017/dementia-triple-affected/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ur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skenoviny.cz/zpravy/namestkyne-mpsv-domovy-pro-seniory-se-v-cr-nedari-zlidstovat/1531011" TargetMode="External"/><Relationship Id="rId4" Type="http://schemas.openxmlformats.org/officeDocument/2006/relationships/settings" Target="settings.xml"/><Relationship Id="rId9" Type="http://schemas.openxmlformats.org/officeDocument/2006/relationships/hyperlink" Target="http://www.alzheime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arbora.smyrova@taktiq.com" TargetMode="External"/><Relationship Id="rId1" Type="http://schemas.openxmlformats.org/officeDocument/2006/relationships/hyperlink" Target="mailto:m.koprivova@senecur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362CE.B9B9252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CA0A-82E9-4F18-B251-CC192ACF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4341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2018-02-07T12:32:00Z</dcterms:created>
  <dcterms:modified xsi:type="dcterms:W3CDTF">2018-03-01T11:21:00Z</dcterms:modified>
</cp:coreProperties>
</file>