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172B" w14:textId="77777777" w:rsidR="00EF6FBD" w:rsidRDefault="00EF6FBD" w:rsidP="00EF6FBD">
      <w:pPr>
        <w:rPr>
          <w:b/>
          <w:sz w:val="28"/>
          <w:szCs w:val="28"/>
        </w:rPr>
      </w:pPr>
    </w:p>
    <w:p w14:paraId="1190012B" w14:textId="5658A5DF" w:rsidR="00EF6FBD" w:rsidRDefault="00EF6FBD" w:rsidP="00EF6FBD">
      <w:pPr>
        <w:rPr>
          <w:b/>
          <w:sz w:val="28"/>
          <w:szCs w:val="28"/>
        </w:rPr>
      </w:pPr>
      <w:r w:rsidRPr="00DC5FCD">
        <w:rPr>
          <w:b/>
          <w:sz w:val="28"/>
          <w:szCs w:val="28"/>
        </w:rPr>
        <w:t>SeneCura otev</w:t>
      </w:r>
      <w:r w:rsidR="009745E9">
        <w:rPr>
          <w:b/>
          <w:sz w:val="28"/>
          <w:szCs w:val="28"/>
        </w:rPr>
        <w:t>ře</w:t>
      </w:r>
      <w:r w:rsidR="00977CEA">
        <w:rPr>
          <w:b/>
          <w:sz w:val="28"/>
          <w:szCs w:val="28"/>
        </w:rPr>
        <w:t>la</w:t>
      </w:r>
      <w:r w:rsidRPr="00DC5FCD">
        <w:rPr>
          <w:b/>
          <w:sz w:val="28"/>
          <w:szCs w:val="28"/>
        </w:rPr>
        <w:t xml:space="preserve"> ve Slivenci </w:t>
      </w:r>
      <w:r>
        <w:rPr>
          <w:b/>
          <w:sz w:val="28"/>
          <w:szCs w:val="28"/>
        </w:rPr>
        <w:t xml:space="preserve">již třinácté </w:t>
      </w:r>
      <w:r w:rsidRPr="00DC5FCD">
        <w:rPr>
          <w:b/>
          <w:sz w:val="28"/>
          <w:szCs w:val="28"/>
        </w:rPr>
        <w:t xml:space="preserve">SeniorCentrum </w:t>
      </w:r>
    </w:p>
    <w:p w14:paraId="5C331A31" w14:textId="21D72950" w:rsidR="00EF6FBD" w:rsidRPr="00AB1CE3" w:rsidRDefault="00977CEA" w:rsidP="00EF6FBD">
      <w:pPr>
        <w:jc w:val="both"/>
        <w:rPr>
          <w:b/>
          <w:i/>
        </w:rPr>
      </w:pPr>
      <w:r>
        <w:rPr>
          <w:i/>
        </w:rPr>
        <w:t>Praha</w:t>
      </w:r>
      <w:r w:rsidR="008B2785" w:rsidRPr="00977CEA">
        <w:rPr>
          <w:i/>
        </w:rPr>
        <w:t xml:space="preserve"> </w:t>
      </w:r>
      <w:r w:rsidRPr="00977CEA">
        <w:rPr>
          <w:i/>
        </w:rPr>
        <w:t>9.</w:t>
      </w:r>
      <w:r w:rsidR="00EF6FBD" w:rsidRPr="00977CEA">
        <w:rPr>
          <w:i/>
        </w:rPr>
        <w:t>března</w:t>
      </w:r>
      <w:r w:rsidR="008B2785" w:rsidRPr="00977CEA">
        <w:rPr>
          <w:i/>
        </w:rPr>
        <w:t xml:space="preserve"> 201</w:t>
      </w:r>
      <w:r w:rsidR="00373A35" w:rsidRPr="00977CEA">
        <w:rPr>
          <w:i/>
        </w:rPr>
        <w:t>8</w:t>
      </w:r>
      <w:r w:rsidR="009E2D3E">
        <w:rPr>
          <w:i/>
        </w:rPr>
        <w:t xml:space="preserve"> –</w:t>
      </w:r>
      <w:r w:rsidR="008B2785">
        <w:rPr>
          <w:i/>
        </w:rPr>
        <w:t xml:space="preserve"> </w:t>
      </w:r>
      <w:r w:rsidR="00EF6FBD" w:rsidRPr="00AB1CE3">
        <w:rPr>
          <w:b/>
          <w:i/>
        </w:rPr>
        <w:t xml:space="preserve">Nové SeneCura SeniorCentrum ve Slivenci dokončilo poslední stavební úpravy a </w:t>
      </w:r>
      <w:r w:rsidR="0095041E">
        <w:rPr>
          <w:b/>
          <w:i/>
        </w:rPr>
        <w:t>3. dubna 2018</w:t>
      </w:r>
      <w:r w:rsidR="00EF6FBD" w:rsidRPr="00AB1CE3">
        <w:rPr>
          <w:b/>
          <w:i/>
        </w:rPr>
        <w:t xml:space="preserve"> otevře dveře novým klientům. Zařízení s celkovou kapacitou </w:t>
      </w:r>
      <w:r w:rsidR="004F41BA">
        <w:rPr>
          <w:b/>
          <w:i/>
        </w:rPr>
        <w:t>100</w:t>
      </w:r>
      <w:r w:rsidR="00EF6FBD" w:rsidRPr="00AB1CE3">
        <w:rPr>
          <w:b/>
          <w:i/>
        </w:rPr>
        <w:t xml:space="preserve"> lůžek nabídne své služby jak formou Domova pro seniory, tak stále </w:t>
      </w:r>
      <w:r w:rsidR="0095041E">
        <w:rPr>
          <w:b/>
          <w:i/>
        </w:rPr>
        <w:t>potřebnějšího</w:t>
      </w:r>
      <w:r w:rsidR="0095041E" w:rsidRPr="00AB1CE3">
        <w:rPr>
          <w:b/>
          <w:i/>
        </w:rPr>
        <w:t xml:space="preserve"> </w:t>
      </w:r>
      <w:r w:rsidR="00EF6FBD" w:rsidRPr="00AB1CE3">
        <w:rPr>
          <w:b/>
          <w:i/>
        </w:rPr>
        <w:t xml:space="preserve">Domova se zvláštním režimem určeného pro osoby trpící Alzheimerovou chorobou či jiným typem demence. Připojuje se tak ke dvanácti dalším </w:t>
      </w:r>
      <w:proofErr w:type="spellStart"/>
      <w:r w:rsidR="00EF6FBD" w:rsidRPr="00AB1CE3">
        <w:rPr>
          <w:b/>
          <w:i/>
        </w:rPr>
        <w:t>SeniorCentrům</w:t>
      </w:r>
      <w:proofErr w:type="spellEnd"/>
      <w:r w:rsidR="00EF6FBD" w:rsidRPr="00AB1CE3">
        <w:rPr>
          <w:b/>
          <w:i/>
        </w:rPr>
        <w:t xml:space="preserve">, které SeneCura provozuje po celé České republice. </w:t>
      </w:r>
    </w:p>
    <w:p w14:paraId="5383AD1E" w14:textId="6C79CB66" w:rsidR="00EF6FBD" w:rsidRDefault="00EF6FBD" w:rsidP="00EF6FBD">
      <w:pPr>
        <w:jc w:val="both"/>
      </w:pPr>
      <w:r w:rsidRPr="00AB1CE3">
        <w:rPr>
          <w:i/>
        </w:rPr>
        <w:t>„Velmi nás těší</w:t>
      </w:r>
      <w:r w:rsidR="00684C51">
        <w:rPr>
          <w:i/>
        </w:rPr>
        <w:t>, že</w:t>
      </w:r>
      <w:r w:rsidRPr="00AB1CE3">
        <w:rPr>
          <w:i/>
        </w:rPr>
        <w:t xml:space="preserve"> obyvatel</w:t>
      </w:r>
      <w:r w:rsidR="00684C51">
        <w:rPr>
          <w:i/>
        </w:rPr>
        <w:t>é</w:t>
      </w:r>
      <w:r w:rsidRPr="00AB1CE3">
        <w:rPr>
          <w:i/>
        </w:rPr>
        <w:t xml:space="preserve"> Slivence</w:t>
      </w:r>
      <w:r w:rsidR="00684C51">
        <w:rPr>
          <w:i/>
        </w:rPr>
        <w:t xml:space="preserve"> mají</w:t>
      </w:r>
      <w:r w:rsidRPr="00AB1CE3">
        <w:rPr>
          <w:i/>
        </w:rPr>
        <w:t xml:space="preserve"> o naše zařízení</w:t>
      </w:r>
      <w:r w:rsidR="00684C51">
        <w:rPr>
          <w:i/>
        </w:rPr>
        <w:t xml:space="preserve"> zájem</w:t>
      </w:r>
      <w:r w:rsidRPr="00AB1CE3">
        <w:rPr>
          <w:i/>
        </w:rPr>
        <w:t xml:space="preserve">, a to nejen jako o vhodné místo pro jejich blízké, ale i jako pracovní příležitost. Líbí se jim pěkné pracovní prostředí, moderní vybavení </w:t>
      </w:r>
      <w:r w:rsidR="00684C51">
        <w:rPr>
          <w:i/>
        </w:rPr>
        <w:br/>
      </w:r>
      <w:r w:rsidRPr="00AB1CE3">
        <w:rPr>
          <w:i/>
        </w:rPr>
        <w:t>i malebná lokalita,“</w:t>
      </w:r>
      <w:r>
        <w:t xml:space="preserve"> říká ředitel </w:t>
      </w:r>
      <w:proofErr w:type="spellStart"/>
      <w:r>
        <w:t>SeniorCentra</w:t>
      </w:r>
      <w:proofErr w:type="spellEnd"/>
      <w:r>
        <w:t xml:space="preserve"> Slivenec Lukáš Stárek. </w:t>
      </w:r>
      <w:r w:rsidR="00684C51">
        <w:t>Kromě estetické funkce však bude domov plnit i tu praktickou, samozřejmostí</w:t>
      </w:r>
      <w:r>
        <w:t xml:space="preserve"> je zde bezbariérový přístup a prvky usnadňující orientaci, vhodné umělé osvětlení i dostatek přirozeného</w:t>
      </w:r>
      <w:r w:rsidR="00684C51">
        <w:t xml:space="preserve"> světla</w:t>
      </w:r>
      <w:r>
        <w:t xml:space="preserve">. Kromě špičkové péče </w:t>
      </w:r>
      <w:r w:rsidR="00684C51">
        <w:t>budou moci</w:t>
      </w:r>
      <w:r>
        <w:t xml:space="preserve"> klienti využívat multifunkčních prostor pro širokou škálu terapií, aktivizačních programů a relaxací. Důležitou součástí celého areálu je</w:t>
      </w:r>
      <w:r w:rsidR="00684C51">
        <w:t xml:space="preserve"> také</w:t>
      </w:r>
      <w:r>
        <w:t xml:space="preserve"> venkovní terasa a zahrada. </w:t>
      </w:r>
      <w:r w:rsidRPr="00AB1CE3">
        <w:rPr>
          <w:i/>
        </w:rPr>
        <w:t>„V zahradě jsou chodníky, které umožní pohyb i osobám se sníženou pohyblivostí, zatímco zdatnější klienti budou moci nejen relaxovat, ale využít třeba i posilovací zařízení,“</w:t>
      </w:r>
      <w:r>
        <w:t xml:space="preserve"> dodává Stárek. </w:t>
      </w:r>
    </w:p>
    <w:p w14:paraId="7D954404" w14:textId="1A5EA9AD" w:rsidR="00EF6FBD" w:rsidRDefault="00EF6FBD" w:rsidP="00EF6FBD">
      <w:pPr>
        <w:jc w:val="both"/>
      </w:pPr>
      <w:r>
        <w:t>Domov disponuje dvoulůžkovými pokoji</w:t>
      </w:r>
      <w:r w:rsidR="0095041E">
        <w:t>, které lze v případě zájmu upravit na jednolůžkový</w:t>
      </w:r>
      <w:r>
        <w:t xml:space="preserve">. Všechny jsou vybaveny kvalitními polohovatelnými lůžky se speciálními </w:t>
      </w:r>
      <w:r w:rsidR="0095041E">
        <w:t xml:space="preserve">antidekubitními </w:t>
      </w:r>
      <w:r>
        <w:t>matracemi, které kromě komfortu nabízí i účinnou prevenci komplikací způsobených dlouhodobým pobytem na lůžku. Součástí vybavení je drobný nábytek, konečná podoba pokoje ale</w:t>
      </w:r>
      <w:r w:rsidR="00853BAD">
        <w:t xml:space="preserve"> závisí</w:t>
      </w:r>
      <w:r>
        <w:t xml:space="preserve"> na konkrétním přání klienta. Pro vzájemné setkávání klientů je k dispozici společenská místnost, využívat mohou také místnosti pro ergoterapii nebo navštěvovat </w:t>
      </w:r>
      <w:r w:rsidR="004F41BA">
        <w:t>duchovní místnost</w:t>
      </w:r>
      <w:r>
        <w:t>. SeniorCentrum navíc nabízí bohatý výběr volnočasových aktivizačních činností, například tvořivou dílnu, tréninky paměti, muzikoterapii, canisterapii, nebo filmový klub. Domov zprostředkovává i běžné služby jako je kadeřník, pedikúra, dovoz osobních nákupů či masáže.</w:t>
      </w:r>
    </w:p>
    <w:p w14:paraId="625F51C6" w14:textId="048DF24D" w:rsidR="00EF6FBD" w:rsidRDefault="00EF6FBD" w:rsidP="00EF6FBD">
      <w:pPr>
        <w:jc w:val="both"/>
        <w:rPr>
          <w:rFonts w:cstheme="minorHAnsi"/>
        </w:rPr>
      </w:pPr>
      <w:r>
        <w:rPr>
          <w:rFonts w:cstheme="minorHAnsi"/>
        </w:rPr>
        <w:t xml:space="preserve">Všechny domovy skupiny SeneCura se řídí heslem: Život pokračuje s námi. </w:t>
      </w:r>
      <w:r>
        <w:rPr>
          <w:rFonts w:cstheme="minorHAnsi"/>
          <w:i/>
        </w:rPr>
        <w:t xml:space="preserve">„Klient se svými přáními </w:t>
      </w:r>
      <w:r>
        <w:rPr>
          <w:rFonts w:cstheme="minorHAnsi"/>
          <w:i/>
        </w:rPr>
        <w:br/>
        <w:t xml:space="preserve">a potřebami stojí ve středu zájmu všech našich zaměstnanců. Hlavní hodnoty jsou vzájemná úcta </w:t>
      </w:r>
      <w:r>
        <w:rPr>
          <w:rFonts w:cstheme="minorHAnsi"/>
          <w:i/>
        </w:rPr>
        <w:br/>
        <w:t>a respekt ke klientovým přáním, týmová práce, humanita a podpora lidské důstojnosti, a zejména individuální přístup a vnímání potřeb každého klienta zvlášť</w:t>
      </w:r>
      <w:r>
        <w:rPr>
          <w:rFonts w:cstheme="minorHAnsi"/>
        </w:rPr>
        <w:t xml:space="preserve">,“ vysvětluje ředitel </w:t>
      </w:r>
      <w:proofErr w:type="spellStart"/>
      <w:r>
        <w:rPr>
          <w:rFonts w:cstheme="minorHAnsi"/>
        </w:rPr>
        <w:t>SeniorCentra</w:t>
      </w:r>
      <w:proofErr w:type="spellEnd"/>
      <w:r>
        <w:rPr>
          <w:rFonts w:cstheme="minorHAnsi"/>
        </w:rPr>
        <w:t>. „</w:t>
      </w:r>
      <w:r>
        <w:rPr>
          <w:rFonts w:cstheme="minorHAnsi"/>
          <w:i/>
        </w:rPr>
        <w:t>Při příchodu do domova u každého klienta zvlášť zjišťujeme, jaký doposud vedl život a vytváříme s jeho rodinou tzv. životní příběh, tedy co a jak byl zvyklý dělat, jaké měl koníčky, kde pracoval, jaké potraviny má a nemá rád a podobně. Vytváříme individuální plán péče a specifický přístup ke klientovi tak, aby byl v souladu s jeho lidskou integritou a respektoval jeho historii</w:t>
      </w:r>
      <w:r>
        <w:rPr>
          <w:rFonts w:cstheme="minorHAnsi"/>
        </w:rPr>
        <w:t>,“ doplňuje.</w:t>
      </w:r>
    </w:p>
    <w:p w14:paraId="7DD110BD" w14:textId="6A12C747" w:rsidR="00EF6FBD" w:rsidRDefault="00EF6FBD" w:rsidP="00EF6FBD">
      <w:pPr>
        <w:jc w:val="both"/>
      </w:pPr>
      <w:r>
        <w:t xml:space="preserve">Častým problémem zařízení poskytujících péči o seniory i samotných seniorů je sociální izolace. Filozofie </w:t>
      </w:r>
      <w:proofErr w:type="spellStart"/>
      <w:r>
        <w:t>SeniorCenter</w:t>
      </w:r>
      <w:proofErr w:type="spellEnd"/>
      <w:r>
        <w:t xml:space="preserve"> je patrná už z jejich názvu – domovy SeneCura mají fungovat jako kulturní </w:t>
      </w:r>
      <w:r>
        <w:br/>
        <w:t>a společenské centrum města a podporovat mezigenerační soužití. To symbolizují i tři propojené kruhy v logu společnosti. V rámci této filozofie vznik</w:t>
      </w:r>
      <w:r w:rsidR="004F41BA">
        <w:t>á</w:t>
      </w:r>
      <w:r>
        <w:t xml:space="preserve"> v </w:t>
      </w:r>
      <w:proofErr w:type="spellStart"/>
      <w:r>
        <w:t>SeniorCentru</w:t>
      </w:r>
      <w:proofErr w:type="spellEnd"/>
      <w:r>
        <w:t xml:space="preserve"> dětská skupina pro 12 dětí </w:t>
      </w:r>
      <w:r>
        <w:br/>
        <w:t xml:space="preserve">a programy seniorů a dětí se budou často prolínat. Starší lidé prostřednictvím her s dětmi zavzpomínají na své dětství a připomenou si svá vnoučata, ti nejmenší si zase užijí laskavost a trpělivost </w:t>
      </w:r>
      <w:r w:rsidR="0095041E">
        <w:t>seniorů</w:t>
      </w:r>
      <w:r>
        <w:t xml:space="preserve">. Kromě spolupráce s dětskou skupinou plánuje SeneCura spojení i s dalšími institucemi z blízkého okolí. </w:t>
      </w:r>
    </w:p>
    <w:p w14:paraId="587C0D82" w14:textId="241A19A2" w:rsidR="00EF6FBD" w:rsidRDefault="00EF6FBD" w:rsidP="00EF6FBD">
      <w:pPr>
        <w:jc w:val="both"/>
      </w:pPr>
      <w:r>
        <w:t xml:space="preserve">Více informací o domově i o přihláškách naleznete na stránkách </w:t>
      </w:r>
      <w:hyperlink r:id="rId9" w:history="1">
        <w:r w:rsidRPr="00E30AF4">
          <w:rPr>
            <w:rStyle w:val="Hypertextovodkaz"/>
          </w:rPr>
          <w:t>www.praha-slivenec.senecura.cz</w:t>
        </w:r>
      </w:hyperlink>
      <w:r>
        <w:t xml:space="preserve">. </w:t>
      </w:r>
    </w:p>
    <w:p w14:paraId="00747A3B" w14:textId="77777777" w:rsidR="00373A35" w:rsidRDefault="00373A35" w:rsidP="00613C41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p w14:paraId="08E95D5F" w14:textId="77777777" w:rsidR="006E4B01" w:rsidRPr="007C2CFA" w:rsidRDefault="006E4B01" w:rsidP="006E4B01">
      <w:pPr>
        <w:jc w:val="both"/>
        <w:rPr>
          <w:color w:val="A6A6A6" w:themeColor="background1" w:themeShade="A6"/>
        </w:rPr>
      </w:pPr>
      <w:r w:rsidRPr="007C2CFA">
        <w:rPr>
          <w:color w:val="A6A6A6" w:themeColor="background1" w:themeShade="A6"/>
        </w:rPr>
        <w:t>O společnosti SeneCura</w:t>
      </w:r>
    </w:p>
    <w:p w14:paraId="7BAFCB58" w14:textId="62CEF9E2" w:rsidR="006E4B01" w:rsidRPr="007C2CFA" w:rsidRDefault="006E4B01" w:rsidP="006E4B01">
      <w:pPr>
        <w:jc w:val="both"/>
        <w:rPr>
          <w:color w:val="A6A6A6" w:themeColor="background1" w:themeShade="A6"/>
        </w:rPr>
      </w:pPr>
      <w:r w:rsidRPr="007C2CFA">
        <w:rPr>
          <w:color w:val="A6A6A6" w:themeColor="background1" w:themeShade="A6"/>
        </w:rPr>
        <w:t>Společnost SeneCura je s téměř 6 800 lůžky a 79 sociálními a zdravotnickými zařízeními přední privátní poskytovatel péče v Rakousku a je držitelem mnohonásobného ocenění za kvalitu a inovaci. Svou kompetencí a dlouholetou zkušeností v o</w:t>
      </w:r>
      <w:r w:rsidR="00977CEA">
        <w:rPr>
          <w:color w:val="A6A6A6" w:themeColor="background1" w:themeShade="A6"/>
        </w:rPr>
        <w:t xml:space="preserve">blasti péče poskytuje jistotu </w:t>
      </w:r>
      <w:r w:rsidRPr="007C2CFA">
        <w:rPr>
          <w:color w:val="A6A6A6" w:themeColor="background1" w:themeShade="A6"/>
        </w:rPr>
        <w:t>klientům</w:t>
      </w:r>
      <w:r w:rsidR="00977CEA">
        <w:rPr>
          <w:color w:val="A6A6A6" w:themeColor="background1" w:themeShade="A6"/>
        </w:rPr>
        <w:t xml:space="preserve"> i</w:t>
      </w:r>
      <w:r w:rsidRPr="007C2CFA">
        <w:rPr>
          <w:color w:val="A6A6A6" w:themeColor="background1" w:themeShade="A6"/>
        </w:rPr>
        <w:t xml:space="preserve"> v České republice, ve které je SeneCura největším soukromým provozovatelem domovů pro seniory se špičkovou zdravotní a sociální péčí včetně péče o seniory trpící demencí. SeneCura Česká republika v současné době provozuje 13 </w:t>
      </w:r>
      <w:proofErr w:type="spellStart"/>
      <w:r w:rsidRPr="007C2CFA">
        <w:rPr>
          <w:color w:val="A6A6A6" w:themeColor="background1" w:themeShade="A6"/>
        </w:rPr>
        <w:t>SeniorCenter</w:t>
      </w:r>
      <w:proofErr w:type="spellEnd"/>
      <w:r w:rsidRPr="007C2CFA">
        <w:rPr>
          <w:color w:val="A6A6A6" w:themeColor="background1" w:themeShade="A6"/>
        </w:rPr>
        <w:t>. SeneCura je součástí francouzské skupiny ORPEA, která v mezinárodním měřítku provozuje téměř 800 zdravotnických a sociálních zařízení.</w:t>
      </w:r>
    </w:p>
    <w:p w14:paraId="1690DB60" w14:textId="277C6F06" w:rsidR="00B831D9" w:rsidRPr="0075458B" w:rsidRDefault="00B831D9" w:rsidP="004E4CB9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  <w:bookmarkStart w:id="0" w:name="_GoBack"/>
      <w:bookmarkEnd w:id="0"/>
    </w:p>
    <w:sectPr w:rsidR="00B831D9" w:rsidRPr="007545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107B" w14:textId="77777777" w:rsidR="00D02C62" w:rsidRDefault="00D02C62" w:rsidP="008B2785">
      <w:pPr>
        <w:spacing w:after="0" w:line="240" w:lineRule="auto"/>
      </w:pPr>
      <w:r>
        <w:separator/>
      </w:r>
    </w:p>
  </w:endnote>
  <w:endnote w:type="continuationSeparator" w:id="0">
    <w:p w14:paraId="3733CD06" w14:textId="77777777" w:rsidR="00D02C62" w:rsidRDefault="00D02C62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1044" w14:textId="2A00108D" w:rsidR="008B2785" w:rsidRPr="004253AA" w:rsidRDefault="008B2785">
    <w:pPr>
      <w:pStyle w:val="Zpat"/>
      <w:rPr>
        <w:b/>
        <w:sz w:val="18"/>
        <w:szCs w:val="18"/>
      </w:rPr>
    </w:pPr>
    <w:r w:rsidRPr="004253AA">
      <w:rPr>
        <w:b/>
        <w:sz w:val="18"/>
        <w:szCs w:val="18"/>
      </w:rPr>
      <w:t>Kontakt pro média</w:t>
    </w:r>
  </w:p>
  <w:p w14:paraId="40F7A192" w14:textId="4754E2B7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:paraId="3199B68D" w14:textId="20C6755F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 xml:space="preserve">SeneCura </w:t>
    </w:r>
    <w:r w:rsidR="00977CEA">
      <w:rPr>
        <w:sz w:val="18"/>
        <w:szCs w:val="18"/>
      </w:rPr>
      <w:t>s.r.o.</w:t>
    </w:r>
    <w:r w:rsidRPr="004253AA">
      <w:rPr>
        <w:sz w:val="18"/>
        <w:szCs w:val="18"/>
      </w:rPr>
      <w:t xml:space="preserve">                          </w:t>
    </w:r>
    <w:r w:rsidR="00977CEA">
      <w:rPr>
        <w:sz w:val="18"/>
        <w:szCs w:val="18"/>
      </w:rPr>
      <w:t xml:space="preserve">                            </w:t>
    </w:r>
    <w:proofErr w:type="spellStart"/>
    <w:r w:rsidRPr="004253AA">
      <w:rPr>
        <w:sz w:val="18"/>
        <w:szCs w:val="18"/>
      </w:rPr>
      <w:t>Taktiq</w:t>
    </w:r>
    <w:proofErr w:type="spellEnd"/>
    <w:r w:rsidRPr="004253AA">
      <w:rPr>
        <w:sz w:val="18"/>
        <w:szCs w:val="18"/>
      </w:rPr>
      <w:t xml:space="preserve"> </w:t>
    </w:r>
    <w:r w:rsidR="009E2D3E" w:rsidRPr="004253AA">
      <w:rPr>
        <w:sz w:val="18"/>
        <w:szCs w:val="18"/>
      </w:rPr>
      <w:t>C</w:t>
    </w:r>
    <w:r w:rsidRPr="004253AA">
      <w:rPr>
        <w:sz w:val="18"/>
        <w:szCs w:val="18"/>
      </w:rPr>
      <w:t xml:space="preserve">ommunications s.r.o.                                            </w:t>
    </w:r>
  </w:p>
  <w:p w14:paraId="787DABA8" w14:textId="6E51296C" w:rsidR="008B2785" w:rsidRPr="004253AA" w:rsidRDefault="00977CEA">
    <w:pPr>
      <w:pStyle w:val="Zpat"/>
      <w:rPr>
        <w:sz w:val="18"/>
        <w:szCs w:val="18"/>
      </w:rPr>
    </w:pPr>
    <w:hyperlink r:id="rId1" w:history="1">
      <w:r w:rsidR="00102FF3" w:rsidRPr="004253AA">
        <w:rPr>
          <w:rStyle w:val="Hypertextovodkaz"/>
          <w:sz w:val="18"/>
          <w:szCs w:val="18"/>
        </w:rPr>
        <w:t>m.koprivova</w:t>
      </w:r>
      <w:r w:rsidR="00102FF3" w:rsidRPr="004253AA">
        <w:rPr>
          <w:rStyle w:val="Hypertextovodkaz"/>
          <w:rFonts w:cstheme="minorHAnsi"/>
          <w:sz w:val="18"/>
          <w:szCs w:val="18"/>
        </w:rPr>
        <w:t>@</w:t>
      </w:r>
      <w:r w:rsidR="00102FF3" w:rsidRPr="004253AA">
        <w:rPr>
          <w:rStyle w:val="Hypertextovodkaz"/>
          <w:sz w:val="18"/>
          <w:szCs w:val="18"/>
        </w:rPr>
        <w:t>sen</w:t>
      </w:r>
      <w:r w:rsidR="00102FF3" w:rsidRPr="00434859">
        <w:rPr>
          <w:rStyle w:val="Hypertextovodkaz"/>
          <w:sz w:val="18"/>
          <w:szCs w:val="18"/>
        </w:rPr>
        <w:t>ecura</w:t>
      </w:r>
      <w:r w:rsidR="00102FF3" w:rsidRPr="004253AA">
        <w:rPr>
          <w:rStyle w:val="Hypertextovodkaz"/>
          <w:sz w:val="18"/>
          <w:szCs w:val="18"/>
        </w:rPr>
        <w:t>.cz</w:t>
      </w:r>
    </w:hyperlink>
    <w:r w:rsidR="008B2785" w:rsidRPr="004253AA">
      <w:rPr>
        <w:sz w:val="18"/>
        <w:szCs w:val="18"/>
      </w:rPr>
      <w:t xml:space="preserve">                        </w:t>
    </w:r>
    <w:r w:rsidR="004253AA">
      <w:rPr>
        <w:sz w:val="18"/>
        <w:szCs w:val="18"/>
      </w:rPr>
      <w:t xml:space="preserve">        </w:t>
    </w:r>
    <w:r w:rsidR="008B2785" w:rsidRPr="004253AA">
      <w:rPr>
        <w:sz w:val="18"/>
        <w:szCs w:val="18"/>
      </w:rPr>
      <w:t xml:space="preserve"> </w:t>
    </w:r>
    <w:hyperlink r:id="rId2" w:history="1">
      <w:r w:rsidR="008B2785" w:rsidRPr="004253AA">
        <w:rPr>
          <w:rStyle w:val="Hypertextovodkaz"/>
          <w:sz w:val="18"/>
          <w:szCs w:val="18"/>
        </w:rPr>
        <w:t>barbora.smyrova</w:t>
      </w:r>
      <w:r w:rsidR="008B2785" w:rsidRPr="004253AA">
        <w:rPr>
          <w:rStyle w:val="Hypertextovodkaz"/>
          <w:rFonts w:cstheme="minorHAnsi"/>
          <w:sz w:val="18"/>
          <w:szCs w:val="18"/>
        </w:rPr>
        <w:t>@</w:t>
      </w:r>
      <w:r w:rsidR="008B2785" w:rsidRPr="004253AA">
        <w:rPr>
          <w:rStyle w:val="Hypertextovodkaz"/>
          <w:sz w:val="18"/>
          <w:szCs w:val="18"/>
        </w:rPr>
        <w:t>taktiq.com</w:t>
      </w:r>
    </w:hyperlink>
  </w:p>
  <w:p w14:paraId="3F54B5BC" w14:textId="091E243D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6EB5" w14:textId="77777777" w:rsidR="00D02C62" w:rsidRDefault="00D02C62" w:rsidP="008B2785">
      <w:pPr>
        <w:spacing w:after="0" w:line="240" w:lineRule="auto"/>
      </w:pPr>
      <w:r>
        <w:separator/>
      </w:r>
    </w:p>
  </w:footnote>
  <w:footnote w:type="continuationSeparator" w:id="0">
    <w:p w14:paraId="0DC93D48" w14:textId="77777777" w:rsidR="00D02C62" w:rsidRDefault="00D02C62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03F" w14:textId="1B55C221" w:rsidR="008B2785" w:rsidRDefault="00BA4A34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F32C67F" wp14:editId="39230358">
          <wp:simplePos x="0" y="0"/>
          <wp:positionH relativeFrom="column">
            <wp:posOffset>2129155</wp:posOffset>
          </wp:positionH>
          <wp:positionV relativeFrom="paragraph">
            <wp:posOffset>-281305</wp:posOffset>
          </wp:positionV>
          <wp:extent cx="1190625" cy="716915"/>
          <wp:effectExtent l="0" t="0" r="9525" b="6985"/>
          <wp:wrapTight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ight>
          <wp:docPr id="2" name="Obrázek 2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C6F"/>
    <w:multiLevelType w:val="hybridMultilevel"/>
    <w:tmpl w:val="9ED02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F"/>
    <w:rsid w:val="0008147E"/>
    <w:rsid w:val="00097069"/>
    <w:rsid w:val="000C31B3"/>
    <w:rsid w:val="000E371A"/>
    <w:rsid w:val="000F715A"/>
    <w:rsid w:val="00102FF3"/>
    <w:rsid w:val="00112692"/>
    <w:rsid w:val="0013204F"/>
    <w:rsid w:val="0013501B"/>
    <w:rsid w:val="0017169C"/>
    <w:rsid w:val="00183CB6"/>
    <w:rsid w:val="001C633B"/>
    <w:rsid w:val="001E1DA2"/>
    <w:rsid w:val="00216F60"/>
    <w:rsid w:val="002245B0"/>
    <w:rsid w:val="0022607C"/>
    <w:rsid w:val="00271ACE"/>
    <w:rsid w:val="00283F80"/>
    <w:rsid w:val="002B5650"/>
    <w:rsid w:val="003124C2"/>
    <w:rsid w:val="00324499"/>
    <w:rsid w:val="00351388"/>
    <w:rsid w:val="00353276"/>
    <w:rsid w:val="00360ECD"/>
    <w:rsid w:val="003666BA"/>
    <w:rsid w:val="00372D0E"/>
    <w:rsid w:val="00373A35"/>
    <w:rsid w:val="00382D88"/>
    <w:rsid w:val="003A4783"/>
    <w:rsid w:val="003C2283"/>
    <w:rsid w:val="004253AA"/>
    <w:rsid w:val="004433B4"/>
    <w:rsid w:val="004562B2"/>
    <w:rsid w:val="004E4CB9"/>
    <w:rsid w:val="004E6712"/>
    <w:rsid w:val="004F41BA"/>
    <w:rsid w:val="00506D5E"/>
    <w:rsid w:val="00512F7D"/>
    <w:rsid w:val="00585403"/>
    <w:rsid w:val="0058797E"/>
    <w:rsid w:val="005B6A1D"/>
    <w:rsid w:val="005D2ABF"/>
    <w:rsid w:val="005E5B18"/>
    <w:rsid w:val="00606688"/>
    <w:rsid w:val="00606B36"/>
    <w:rsid w:val="00613C41"/>
    <w:rsid w:val="00684C51"/>
    <w:rsid w:val="00685A96"/>
    <w:rsid w:val="006A0091"/>
    <w:rsid w:val="006A0B0B"/>
    <w:rsid w:val="006A255C"/>
    <w:rsid w:val="006E4B01"/>
    <w:rsid w:val="006F444F"/>
    <w:rsid w:val="007374FC"/>
    <w:rsid w:val="0075458B"/>
    <w:rsid w:val="007822AC"/>
    <w:rsid w:val="007C2CFA"/>
    <w:rsid w:val="007D4E00"/>
    <w:rsid w:val="00826804"/>
    <w:rsid w:val="00836F3C"/>
    <w:rsid w:val="0084194A"/>
    <w:rsid w:val="00853BAD"/>
    <w:rsid w:val="008B2785"/>
    <w:rsid w:val="008D45B1"/>
    <w:rsid w:val="00941060"/>
    <w:rsid w:val="009448FD"/>
    <w:rsid w:val="0095041E"/>
    <w:rsid w:val="00952A8F"/>
    <w:rsid w:val="00966259"/>
    <w:rsid w:val="009745E9"/>
    <w:rsid w:val="00977CEA"/>
    <w:rsid w:val="009E2D3E"/>
    <w:rsid w:val="009F371E"/>
    <w:rsid w:val="00A44443"/>
    <w:rsid w:val="00A76B13"/>
    <w:rsid w:val="00A85725"/>
    <w:rsid w:val="00A961BA"/>
    <w:rsid w:val="00AF4BB3"/>
    <w:rsid w:val="00B273E9"/>
    <w:rsid w:val="00B5610F"/>
    <w:rsid w:val="00B831D9"/>
    <w:rsid w:val="00BA21A8"/>
    <w:rsid w:val="00BA4A34"/>
    <w:rsid w:val="00BD7C57"/>
    <w:rsid w:val="00C65FE9"/>
    <w:rsid w:val="00C834D0"/>
    <w:rsid w:val="00CA4E41"/>
    <w:rsid w:val="00CF467F"/>
    <w:rsid w:val="00D02C62"/>
    <w:rsid w:val="00D21F42"/>
    <w:rsid w:val="00D25A7D"/>
    <w:rsid w:val="00D27659"/>
    <w:rsid w:val="00D93C5F"/>
    <w:rsid w:val="00DA7339"/>
    <w:rsid w:val="00DC1E06"/>
    <w:rsid w:val="00DC2897"/>
    <w:rsid w:val="00ED1134"/>
    <w:rsid w:val="00EF2C82"/>
    <w:rsid w:val="00EF6FBD"/>
    <w:rsid w:val="00F14F5D"/>
    <w:rsid w:val="00F20E03"/>
    <w:rsid w:val="00F379DE"/>
    <w:rsid w:val="00F55ABB"/>
    <w:rsid w:val="00F62270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78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ha-slivenec.senecur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E9ED-290D-432C-98FB-BE1D41A7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F1B8C4A7</Template>
  <TotalTime>0</TotalTime>
  <Pages>2</Pages>
  <Words>649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Koprivova [SeniorHolding]</cp:lastModifiedBy>
  <cp:revision>2</cp:revision>
  <dcterms:created xsi:type="dcterms:W3CDTF">2018-04-10T15:52:00Z</dcterms:created>
  <dcterms:modified xsi:type="dcterms:W3CDTF">2018-04-10T15:52:00Z</dcterms:modified>
</cp:coreProperties>
</file>