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DA89DA" w:rsidR="003F2A27" w:rsidRDefault="4029266F" w:rsidP="4029266F">
      <w:pPr>
        <w:pBdr>
          <w:top w:val="nil"/>
          <w:left w:val="nil"/>
          <w:bottom w:val="nil"/>
          <w:right w:val="nil"/>
          <w:between w:val="nil"/>
        </w:pBdr>
        <w:spacing w:line="240" w:lineRule="auto"/>
        <w:ind w:left="1" w:hanging="3"/>
        <w:rPr>
          <w:color w:val="C00000"/>
          <w:sz w:val="30"/>
          <w:szCs w:val="30"/>
        </w:rPr>
      </w:pPr>
      <w:r w:rsidRPr="51805AD2">
        <w:rPr>
          <w:b/>
          <w:bCs/>
          <w:color w:val="C00000"/>
          <w:sz w:val="30"/>
          <w:szCs w:val="30"/>
        </w:rPr>
        <w:t>Společné čtení, vyprávění či kreslení. Senioři a děti ze školky v Písku uspěli v soutěži mezigeneračních aktivit</w:t>
      </w:r>
    </w:p>
    <w:p w14:paraId="00000002" w14:textId="77777777" w:rsidR="003F2A27" w:rsidRDefault="003F2A27">
      <w:pPr>
        <w:pBdr>
          <w:top w:val="nil"/>
          <w:left w:val="nil"/>
          <w:bottom w:val="nil"/>
          <w:right w:val="nil"/>
          <w:between w:val="nil"/>
        </w:pBdr>
        <w:spacing w:line="240" w:lineRule="auto"/>
        <w:ind w:left="1" w:hanging="3"/>
        <w:rPr>
          <w:color w:val="C00000"/>
          <w:sz w:val="28"/>
          <w:szCs w:val="28"/>
        </w:rPr>
      </w:pPr>
    </w:p>
    <w:p w14:paraId="00000003" w14:textId="3BE56365" w:rsidR="003F2A27" w:rsidRDefault="00105D34" w:rsidP="386D18BE">
      <w:pPr>
        <w:pBdr>
          <w:top w:val="nil"/>
          <w:left w:val="nil"/>
          <w:bottom w:val="nil"/>
          <w:right w:val="nil"/>
          <w:between w:val="nil"/>
        </w:pBdr>
        <w:spacing w:line="240" w:lineRule="auto"/>
        <w:ind w:left="0" w:hanging="2"/>
        <w:rPr>
          <w:rFonts w:asciiTheme="majorHAnsi" w:eastAsiaTheme="majorEastAsia" w:hAnsiTheme="majorHAnsi" w:cstheme="majorBidi"/>
          <w:color w:val="000000"/>
        </w:rPr>
      </w:pPr>
      <w:r>
        <w:rPr>
          <w:rFonts w:asciiTheme="majorHAnsi" w:eastAsiaTheme="majorEastAsia" w:hAnsiTheme="majorHAnsi" w:cstheme="majorBidi"/>
          <w:b/>
          <w:bCs/>
        </w:rPr>
        <w:t>6</w:t>
      </w:r>
      <w:r w:rsidR="73BB1A90" w:rsidRPr="73BB1A90">
        <w:rPr>
          <w:rFonts w:asciiTheme="majorHAnsi" w:eastAsiaTheme="majorEastAsia" w:hAnsiTheme="majorHAnsi" w:cstheme="majorBidi"/>
          <w:b/>
          <w:bCs/>
        </w:rPr>
        <w:t xml:space="preserve">. </w:t>
      </w:r>
      <w:r>
        <w:rPr>
          <w:rFonts w:asciiTheme="majorHAnsi" w:eastAsiaTheme="majorEastAsia" w:hAnsiTheme="majorHAnsi" w:cstheme="majorBidi"/>
          <w:b/>
          <w:bCs/>
        </w:rPr>
        <w:t>4</w:t>
      </w:r>
      <w:r w:rsidR="73BB1A90" w:rsidRPr="73BB1A90">
        <w:rPr>
          <w:rFonts w:asciiTheme="majorHAnsi" w:eastAsiaTheme="majorEastAsia" w:hAnsiTheme="majorHAnsi" w:cstheme="majorBidi"/>
          <w:b/>
          <w:bCs/>
        </w:rPr>
        <w:t>. 2022</w:t>
      </w:r>
    </w:p>
    <w:p w14:paraId="51C942E8" w14:textId="3B7B9815" w:rsidR="386D18BE" w:rsidRDefault="386D18BE" w:rsidP="386D18BE">
      <w:pPr>
        <w:spacing w:line="240" w:lineRule="auto"/>
        <w:ind w:left="0" w:hanging="2"/>
        <w:rPr>
          <w:rFonts w:asciiTheme="majorHAnsi" w:eastAsiaTheme="majorEastAsia" w:hAnsiTheme="majorHAnsi" w:cstheme="majorBidi"/>
          <w:b/>
          <w:bCs/>
        </w:rPr>
      </w:pPr>
    </w:p>
    <w:p w14:paraId="260A7ADB" w14:textId="6A22E9DD" w:rsidR="003F2A27" w:rsidRPr="00105D34" w:rsidRDefault="73BB1A90" w:rsidP="4029266F">
      <w:pPr>
        <w:pBdr>
          <w:top w:val="nil"/>
          <w:left w:val="nil"/>
          <w:bottom w:val="nil"/>
          <w:right w:val="nil"/>
          <w:between w:val="nil"/>
        </w:pBdr>
        <w:spacing w:before="120" w:after="120" w:line="240" w:lineRule="auto"/>
        <w:ind w:left="0" w:hanging="2"/>
        <w:rPr>
          <w:b/>
        </w:rPr>
      </w:pPr>
      <w:r w:rsidRPr="00105D34">
        <w:rPr>
          <w:b/>
          <w:bCs/>
          <w:sz w:val="22"/>
          <w:szCs w:val="22"/>
        </w:rPr>
        <w:t xml:space="preserve">SeneCura </w:t>
      </w:r>
      <w:proofErr w:type="spellStart"/>
      <w:r w:rsidRPr="00105D34">
        <w:rPr>
          <w:b/>
          <w:bCs/>
          <w:sz w:val="22"/>
          <w:szCs w:val="22"/>
        </w:rPr>
        <w:t>SeniorCentrum</w:t>
      </w:r>
      <w:proofErr w:type="spellEnd"/>
      <w:r w:rsidRPr="00105D34">
        <w:rPr>
          <w:b/>
          <w:bCs/>
          <w:sz w:val="22"/>
          <w:szCs w:val="22"/>
        </w:rPr>
        <w:t xml:space="preserve"> Písek dlouhodobě spolupracuje s třídou dětí z 3. mateřské školy Písek v Pražské ulici. Nyní společně slaví úspěch v soutěži o nejlepší mezigenerační aktivity, kterou pořádá organizace Mezi námi. </w:t>
      </w:r>
      <w:r w:rsidR="4029266F" w:rsidRPr="00105D34">
        <w:rPr>
          <w:b/>
          <w:sz w:val="22"/>
          <w:szCs w:val="22"/>
        </w:rPr>
        <w:t xml:space="preserve">Hlavním cílem společných programů pro děti a seniory je podpořit v dětech sociální cítění a úctu ke stáří. Podobných skupin, které vždy tvoří seniorské a školské zařízení, je v celém Česku více než 200. </w:t>
      </w:r>
    </w:p>
    <w:p w14:paraId="42CAF508" w14:textId="420DCEC2" w:rsidR="003F2A27" w:rsidRDefault="4029266F" w:rsidP="4029266F">
      <w:pPr>
        <w:pBdr>
          <w:top w:val="nil"/>
          <w:left w:val="nil"/>
          <w:bottom w:val="nil"/>
          <w:right w:val="nil"/>
          <w:between w:val="nil"/>
        </w:pBdr>
        <w:spacing w:before="120" w:after="120" w:line="240" w:lineRule="auto"/>
        <w:ind w:left="0" w:hanging="2"/>
      </w:pPr>
      <w:r w:rsidRPr="20598B3A">
        <w:rPr>
          <w:i/>
          <w:iCs/>
          <w:sz w:val="22"/>
          <w:szCs w:val="22"/>
        </w:rPr>
        <w:t xml:space="preserve">„Podporujeme více možností spolupráce v různých programech. Konkrétně v Písku již od roku 2019 spolupracuje SeneCura a 3. MŠ v programu Povídej. Obvyklými aktivitami jsou pravidelná osobní setkání, při nichž senioři s dětmi tvoří, cvičí, zpívají nebo zahradničí,” </w:t>
      </w:r>
      <w:r w:rsidRPr="20598B3A">
        <w:rPr>
          <w:sz w:val="22"/>
          <w:szCs w:val="22"/>
        </w:rPr>
        <w:t>říká vedoucí regionálních koordinátorů z organizac</w:t>
      </w:r>
      <w:r w:rsidR="00105D34">
        <w:rPr>
          <w:sz w:val="22"/>
          <w:szCs w:val="22"/>
        </w:rPr>
        <w:t xml:space="preserve">e Mezi námi Markéta </w:t>
      </w:r>
      <w:proofErr w:type="spellStart"/>
      <w:r w:rsidR="00105D34">
        <w:rPr>
          <w:sz w:val="22"/>
          <w:szCs w:val="22"/>
        </w:rPr>
        <w:t>Šatalíková</w:t>
      </w:r>
      <w:proofErr w:type="spellEnd"/>
      <w:r w:rsidR="00105D34">
        <w:rPr>
          <w:sz w:val="22"/>
          <w:szCs w:val="22"/>
        </w:rPr>
        <w:t>.</w:t>
      </w:r>
    </w:p>
    <w:p w14:paraId="05F55B57" w14:textId="020CB1C2" w:rsidR="003F2A27" w:rsidRDefault="73BB1A90" w:rsidP="73BB1A90">
      <w:pPr>
        <w:pBdr>
          <w:top w:val="nil"/>
          <w:left w:val="nil"/>
          <w:bottom w:val="nil"/>
          <w:right w:val="nil"/>
          <w:between w:val="nil"/>
        </w:pBdr>
        <w:spacing w:before="120" w:after="120" w:line="240" w:lineRule="auto"/>
        <w:ind w:left="0" w:hanging="2"/>
        <w:rPr>
          <w:sz w:val="22"/>
          <w:szCs w:val="22"/>
        </w:rPr>
      </w:pPr>
      <w:r w:rsidRPr="73BB1A90">
        <w:rPr>
          <w:sz w:val="22"/>
          <w:szCs w:val="22"/>
        </w:rPr>
        <w:t xml:space="preserve">V důsledku pandemie byla osobní setkání spíše výjimečná, proto organizace do jednotlivých spolupracujících zařízení zasílala pravidelnou měsíční aktivitu - inspiraci na tvoření. Na jedné straně senioři vyráběli pro děti, na straně druhé děti tvořily pro seniory, výsledkem bylo společné dílo nebo drobné pozornosti, které si předávali, aby na sebe nezapomněli. </w:t>
      </w:r>
    </w:p>
    <w:p w14:paraId="67DAA1F1" w14:textId="78E7F44C" w:rsidR="003F2A27" w:rsidRDefault="4029266F" w:rsidP="4029266F">
      <w:pPr>
        <w:pBdr>
          <w:top w:val="nil"/>
          <w:left w:val="nil"/>
          <w:bottom w:val="nil"/>
          <w:right w:val="nil"/>
          <w:between w:val="nil"/>
        </w:pBdr>
        <w:spacing w:before="120" w:after="120" w:line="240" w:lineRule="auto"/>
        <w:ind w:left="0" w:hanging="2"/>
      </w:pPr>
      <w:r w:rsidRPr="51805AD2">
        <w:rPr>
          <w:sz w:val="22"/>
          <w:szCs w:val="22"/>
        </w:rPr>
        <w:t xml:space="preserve">Právě výsledek </w:t>
      </w:r>
      <w:r w:rsidR="00105D34">
        <w:rPr>
          <w:sz w:val="22"/>
          <w:szCs w:val="22"/>
        </w:rPr>
        <w:t>společných aktivit</w:t>
      </w:r>
      <w:bookmarkStart w:id="0" w:name="_GoBack"/>
      <w:bookmarkEnd w:id="0"/>
      <w:r w:rsidRPr="51805AD2">
        <w:rPr>
          <w:sz w:val="22"/>
          <w:szCs w:val="22"/>
        </w:rPr>
        <w:t xml:space="preserve"> ocenila soutěž, v níž písecká dvojice získala třetí místo. </w:t>
      </w:r>
      <w:r w:rsidRPr="51805AD2">
        <w:rPr>
          <w:i/>
          <w:iCs/>
          <w:sz w:val="22"/>
          <w:szCs w:val="22"/>
        </w:rPr>
        <w:t xml:space="preserve">„V tomto případě však platilo heslo, že důležitější je zúčastnit se. Cílem bylo hlavně inspirovat se navzájem a udržet mezigenerační aktivitu i ve složité době. Při hodnocení jsme tak ocenili hlavně snahu a vůli,” </w:t>
      </w:r>
      <w:r w:rsidRPr="51805AD2">
        <w:rPr>
          <w:sz w:val="22"/>
          <w:szCs w:val="22"/>
        </w:rPr>
        <w:t xml:space="preserve">dodává </w:t>
      </w:r>
      <w:proofErr w:type="spellStart"/>
      <w:r w:rsidRPr="51805AD2">
        <w:rPr>
          <w:sz w:val="22"/>
          <w:szCs w:val="22"/>
        </w:rPr>
        <w:t>Šatalíková</w:t>
      </w:r>
      <w:proofErr w:type="spellEnd"/>
      <w:r w:rsidRPr="51805AD2">
        <w:rPr>
          <w:sz w:val="22"/>
          <w:szCs w:val="22"/>
        </w:rPr>
        <w:t xml:space="preserve">. </w:t>
      </w:r>
    </w:p>
    <w:p w14:paraId="0000000D" w14:textId="72EDC0AB" w:rsidR="003F2A27" w:rsidRDefault="73BB1A90" w:rsidP="4029266F">
      <w:pPr>
        <w:pBdr>
          <w:top w:val="nil"/>
          <w:left w:val="nil"/>
          <w:bottom w:val="nil"/>
          <w:right w:val="nil"/>
          <w:between w:val="nil"/>
        </w:pBdr>
        <w:spacing w:before="120" w:after="120" w:line="240" w:lineRule="auto"/>
        <w:ind w:left="0" w:hanging="2"/>
      </w:pPr>
      <w:r w:rsidRPr="73BB1A90">
        <w:rPr>
          <w:sz w:val="22"/>
          <w:szCs w:val="22"/>
        </w:rPr>
        <w:t xml:space="preserve">Setkávání má pozitivní vliv na děti i na život seniorů. </w:t>
      </w:r>
      <w:r w:rsidRPr="73BB1A90">
        <w:rPr>
          <w:i/>
          <w:iCs/>
          <w:sz w:val="22"/>
          <w:szCs w:val="22"/>
        </w:rPr>
        <w:t>„Je úžasné vidět, jak se naši klienti rozzáří při každé návštěvě dětí ze školky. Je to opět něco nového do jejich každodenních životů. Kromě toho, že se věnují tvořivé činnosti, jsou i rádi, když mohou dětem předávat nastřádané zkušenosti ze života,”</w:t>
      </w:r>
      <w:r w:rsidRPr="73BB1A90">
        <w:rPr>
          <w:sz w:val="22"/>
          <w:szCs w:val="22"/>
        </w:rPr>
        <w:t xml:space="preserve"> říká Jaroslava Kučerová, ředitelka SeneCura </w:t>
      </w:r>
      <w:proofErr w:type="spellStart"/>
      <w:r w:rsidRPr="73BB1A90">
        <w:rPr>
          <w:sz w:val="22"/>
          <w:szCs w:val="22"/>
        </w:rPr>
        <w:t>SeniorCentra</w:t>
      </w:r>
      <w:proofErr w:type="spellEnd"/>
      <w:r w:rsidRPr="73BB1A90">
        <w:rPr>
          <w:sz w:val="22"/>
          <w:szCs w:val="22"/>
        </w:rPr>
        <w:t xml:space="preserve"> Písek.</w:t>
      </w:r>
    </w:p>
    <w:p w14:paraId="0000000E" w14:textId="77777777" w:rsidR="003F2A27" w:rsidRDefault="003F2A27">
      <w:pPr>
        <w:pBdr>
          <w:top w:val="nil"/>
          <w:left w:val="nil"/>
          <w:bottom w:val="nil"/>
          <w:right w:val="nil"/>
          <w:between w:val="nil"/>
        </w:pBdr>
        <w:spacing w:before="120" w:after="120" w:line="240" w:lineRule="auto"/>
        <w:ind w:left="0" w:hanging="2"/>
        <w:rPr>
          <w:b/>
          <w:sz w:val="22"/>
          <w:szCs w:val="22"/>
        </w:rPr>
      </w:pPr>
    </w:p>
    <w:p w14:paraId="0000000F" w14:textId="77777777" w:rsidR="003F2A27" w:rsidRDefault="00D939E4">
      <w:pPr>
        <w:ind w:left="0" w:hanging="2"/>
        <w:rPr>
          <w:sz w:val="22"/>
          <w:szCs w:val="22"/>
        </w:rPr>
      </w:pPr>
      <w:r>
        <w:rPr>
          <w:b/>
          <w:sz w:val="22"/>
          <w:szCs w:val="22"/>
        </w:rPr>
        <w:t>Kontakt:</w:t>
      </w:r>
      <w:r>
        <w:rPr>
          <w:sz w:val="22"/>
          <w:szCs w:val="22"/>
        </w:rPr>
        <w:t xml:space="preserve"> 4JAN PR, Jana Barčáková, tel.: 603 820 382, </w:t>
      </w:r>
      <w:hyperlink r:id="rId10">
        <w:r>
          <w:rPr>
            <w:color w:val="0563C1"/>
            <w:sz w:val="22"/>
            <w:szCs w:val="22"/>
            <w:u w:val="single"/>
          </w:rPr>
          <w:t>jana.barcakova@4jan.cz</w:t>
        </w:r>
      </w:hyperlink>
    </w:p>
    <w:p w14:paraId="00000010" w14:textId="77777777" w:rsidR="003F2A27" w:rsidRDefault="00D939E4">
      <w:pPr>
        <w:pBdr>
          <w:top w:val="nil"/>
          <w:left w:val="nil"/>
          <w:bottom w:val="nil"/>
          <w:right w:val="nil"/>
          <w:between w:val="nil"/>
        </w:pBdr>
        <w:spacing w:line="240" w:lineRule="auto"/>
        <w:ind w:left="0" w:hanging="2"/>
        <w:rPr>
          <w:color w:val="000000"/>
          <w:sz w:val="22"/>
          <w:szCs w:val="22"/>
        </w:rPr>
      </w:pPr>
      <w:r>
        <w:rPr>
          <w:color w:val="000000"/>
          <w:sz w:val="22"/>
          <w:szCs w:val="22"/>
        </w:rPr>
        <w:t>------------------------------------------------------------------------------------------------------------------------------------------------</w:t>
      </w:r>
    </w:p>
    <w:p w14:paraId="00000011" w14:textId="77777777" w:rsidR="003F2A27" w:rsidRDefault="00D939E4">
      <w:pPr>
        <w:pBdr>
          <w:top w:val="nil"/>
          <w:left w:val="nil"/>
          <w:bottom w:val="nil"/>
          <w:right w:val="nil"/>
          <w:between w:val="nil"/>
        </w:pBdr>
        <w:spacing w:line="240" w:lineRule="auto"/>
        <w:ind w:left="0" w:hanging="2"/>
        <w:rPr>
          <w:color w:val="000000"/>
          <w:sz w:val="18"/>
          <w:szCs w:val="18"/>
        </w:rPr>
      </w:pPr>
      <w:r>
        <w:rPr>
          <w:color w:val="000000"/>
          <w:sz w:val="18"/>
          <w:szCs w:val="18"/>
        </w:rPr>
        <w:t xml:space="preserve">SeneCura </w:t>
      </w:r>
      <w:proofErr w:type="spellStart"/>
      <w:r>
        <w:rPr>
          <w:color w:val="000000"/>
          <w:sz w:val="18"/>
          <w:szCs w:val="18"/>
        </w:rPr>
        <w:t>SeniorCentrum</w:t>
      </w:r>
      <w:proofErr w:type="spellEnd"/>
      <w:r>
        <w:rPr>
          <w:color w:val="000000"/>
          <w:sz w:val="18"/>
          <w:szCs w:val="18"/>
        </w:rPr>
        <w:t xml:space="preserve"> Písek v současnosti nabízí sociální služby Domov pro seniory (kapacita 103 lůžek) a Pečovatelskou službu. Svým klientům zde zajišťují péči 24 hodin 7 dní v týdnu. Kromě zdravotní, ošetřovatelské a sociální péče zde naleznete širokou škálu doplňkových služeb i bohatý výběr volnočasových aktivit. </w:t>
      </w:r>
    </w:p>
    <w:p w14:paraId="00000012" w14:textId="77777777" w:rsidR="003F2A27" w:rsidRDefault="00D939E4">
      <w:pPr>
        <w:pBdr>
          <w:top w:val="nil"/>
          <w:left w:val="nil"/>
          <w:bottom w:val="nil"/>
          <w:right w:val="nil"/>
          <w:between w:val="nil"/>
        </w:pBdr>
        <w:spacing w:line="240" w:lineRule="auto"/>
        <w:ind w:left="0" w:hanging="2"/>
        <w:rPr>
          <w:color w:val="000000"/>
          <w:sz w:val="22"/>
          <w:szCs w:val="22"/>
        </w:rPr>
      </w:pPr>
      <w:r>
        <w:rPr>
          <w:color w:val="000000"/>
          <w:sz w:val="18"/>
          <w:szCs w:val="18"/>
        </w:rPr>
        <w:t xml:space="preserve">SeneCura je s více než 2 000 lůžky největším nestátním poskytovatel pobytových sociálních služeb v České republice. V 16 </w:t>
      </w:r>
      <w:proofErr w:type="spellStart"/>
      <w:r>
        <w:rPr>
          <w:color w:val="000000"/>
          <w:sz w:val="18"/>
          <w:szCs w:val="18"/>
        </w:rPr>
        <w:t>SeniorCentrech</w:t>
      </w:r>
      <w:proofErr w:type="spellEnd"/>
      <w:r>
        <w:rPr>
          <w:color w:val="000000"/>
          <w:sz w:val="18"/>
          <w:szCs w:val="18"/>
        </w:rPr>
        <w:t xml:space="preserve"> nabízí pobytové sociální služby Domov pro seniory a Domov se zvláštním režimem pro klienty s Alzheimerovou chorobou či jiným typem demence. Zařízení SeneCura jsou založena na partnerství, spolupráci, inovacích, kvalitní péči, ale i na vysoké kvalitě života ve stáří. </w:t>
      </w:r>
      <w:hyperlink r:id="rId11">
        <w:r>
          <w:rPr>
            <w:color w:val="0563C1"/>
            <w:sz w:val="18"/>
            <w:szCs w:val="18"/>
            <w:u w:val="single"/>
          </w:rPr>
          <w:t>www.senecura.cz</w:t>
        </w:r>
      </w:hyperlink>
    </w:p>
    <w:sectPr w:rsidR="003F2A27">
      <w:headerReference w:type="even" r:id="rId12"/>
      <w:headerReference w:type="default" r:id="rId13"/>
      <w:footerReference w:type="even" r:id="rId14"/>
      <w:footerReference w:type="default" r:id="rId15"/>
      <w:headerReference w:type="first" r:id="rId16"/>
      <w:footerReference w:type="first" r:id="rId17"/>
      <w:pgSz w:w="11900" w:h="16840"/>
      <w:pgMar w:top="2836" w:right="1127" w:bottom="2160" w:left="993" w:header="227"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AA20" w14:textId="77777777" w:rsidR="00D939E4" w:rsidRDefault="00D939E4">
      <w:pPr>
        <w:spacing w:line="240" w:lineRule="auto"/>
        <w:ind w:left="0" w:hanging="2"/>
      </w:pPr>
      <w:r>
        <w:separator/>
      </w:r>
    </w:p>
  </w:endnote>
  <w:endnote w:type="continuationSeparator" w:id="0">
    <w:p w14:paraId="3B270FE4" w14:textId="77777777" w:rsidR="00D939E4" w:rsidRDefault="00D939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w Modelica">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3F2A27" w:rsidRDefault="003F2A2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3F2A27" w:rsidRDefault="003F2A27">
    <w:pPr>
      <w:pBdr>
        <w:top w:val="nil"/>
        <w:left w:val="nil"/>
        <w:bottom w:val="nil"/>
        <w:right w:val="nil"/>
        <w:between w:val="nil"/>
      </w:pBdr>
      <w:tabs>
        <w:tab w:val="left" w:pos="2735"/>
        <w:tab w:val="left" w:pos="6073"/>
      </w:tabs>
      <w:spacing w:line="240" w:lineRule="auto"/>
      <w:ind w:left="0" w:hanging="2"/>
      <w:rPr>
        <w:rFonts w:ascii="Bw Modelica" w:eastAsia="Bw Modelica" w:hAnsi="Bw Modelica" w:cs="Bw Modelica"/>
        <w:color w:val="000000"/>
        <w:sz w:val="18"/>
        <w:szCs w:val="18"/>
      </w:rPr>
    </w:pPr>
  </w:p>
  <w:p w14:paraId="00000018" w14:textId="77777777" w:rsidR="003F2A27" w:rsidRDefault="00D939E4">
    <w:pPr>
      <w:pBdr>
        <w:top w:val="nil"/>
        <w:left w:val="nil"/>
        <w:bottom w:val="nil"/>
        <w:right w:val="nil"/>
        <w:between w:val="nil"/>
      </w:pBdr>
      <w:tabs>
        <w:tab w:val="left" w:pos="2735"/>
        <w:tab w:val="left" w:pos="6073"/>
      </w:tabs>
      <w:spacing w:line="240" w:lineRule="auto"/>
      <w:ind w:left="0" w:hanging="2"/>
      <w:rPr>
        <w:rFonts w:ascii="Century Gothic" w:eastAsia="Century Gothic" w:hAnsi="Century Gothic" w:cs="Century Gothic"/>
        <w:color w:val="83ACD6"/>
        <w:sz w:val="16"/>
        <w:szCs w:val="16"/>
      </w:rPr>
    </w:pPr>
    <w:r>
      <w:rPr>
        <w:rFonts w:ascii="Century Gothic" w:eastAsia="Century Gothic" w:hAnsi="Century Gothic" w:cs="Century Gothic"/>
        <w:color w:val="000000"/>
        <w:sz w:val="16"/>
        <w:szCs w:val="16"/>
      </w:rPr>
      <w:tab/>
    </w:r>
  </w:p>
  <w:p w14:paraId="00000019" w14:textId="77777777" w:rsidR="003F2A27" w:rsidRDefault="003F2A2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77777777" w:rsidR="003F2A27" w:rsidRDefault="003F2A2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AE3E8" w14:textId="77777777" w:rsidR="00D939E4" w:rsidRDefault="00D939E4">
      <w:pPr>
        <w:spacing w:line="240" w:lineRule="auto"/>
        <w:ind w:left="0" w:hanging="2"/>
      </w:pPr>
      <w:r>
        <w:separator/>
      </w:r>
    </w:p>
  </w:footnote>
  <w:footnote w:type="continuationSeparator" w:id="0">
    <w:p w14:paraId="7723CE4E" w14:textId="77777777" w:rsidR="00D939E4" w:rsidRDefault="00D939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3F2A27" w:rsidRDefault="003F2A2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3F2A27" w:rsidRDefault="00D939E4">
    <w:pPr>
      <w:pBdr>
        <w:top w:val="nil"/>
        <w:left w:val="nil"/>
        <w:bottom w:val="nil"/>
        <w:right w:val="nil"/>
        <w:between w:val="nil"/>
      </w:pBdr>
      <w:spacing w:line="240" w:lineRule="auto"/>
      <w:ind w:left="0" w:hanging="2"/>
      <w:rPr>
        <w:color w:val="000000"/>
      </w:rPr>
    </w:pPr>
    <w:r>
      <w:rPr>
        <w:noProof/>
        <w:lang w:eastAsia="cs-CZ"/>
      </w:rPr>
      <w:drawing>
        <wp:anchor distT="0" distB="0" distL="0" distR="0" simplePos="0" relativeHeight="251658240" behindDoc="1" locked="0" layoutInCell="1" hidden="0" allowOverlap="1" wp14:anchorId="618D7423" wp14:editId="07777777">
          <wp:simplePos x="0" y="0"/>
          <wp:positionH relativeFrom="column">
            <wp:posOffset>-638174</wp:posOffset>
          </wp:positionH>
          <wp:positionV relativeFrom="paragraph">
            <wp:posOffset>-142874</wp:posOffset>
          </wp:positionV>
          <wp:extent cx="7541895" cy="1066609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1895" cy="10666095"/>
                  </a:xfrm>
                  <a:prstGeom prst="rect">
                    <a:avLst/>
                  </a:prstGeom>
                  <a:ln/>
                </pic:spPr>
              </pic:pic>
            </a:graphicData>
          </a:graphic>
        </wp:anchor>
      </w:drawing>
    </w:r>
    <w:r>
      <w:rPr>
        <w:noProof/>
        <w:lang w:eastAsia="cs-CZ"/>
      </w:rPr>
      <w:drawing>
        <wp:anchor distT="0" distB="0" distL="0" distR="0" simplePos="0" relativeHeight="251659264" behindDoc="1" locked="0" layoutInCell="1" hidden="0" allowOverlap="1" wp14:anchorId="6307B0C1" wp14:editId="07777777">
          <wp:simplePos x="0" y="0"/>
          <wp:positionH relativeFrom="column">
            <wp:posOffset>-629284</wp:posOffset>
          </wp:positionH>
          <wp:positionV relativeFrom="paragraph">
            <wp:posOffset>-124459</wp:posOffset>
          </wp:positionV>
          <wp:extent cx="7520940" cy="1062863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20940" cy="106286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3F2A27" w:rsidRDefault="003F2A27">
    <w:pPr>
      <w:pBdr>
        <w:top w:val="nil"/>
        <w:left w:val="nil"/>
        <w:bottom w:val="nil"/>
        <w:right w:val="nil"/>
        <w:between w:val="nil"/>
      </w:pBdr>
      <w:spacing w:line="240" w:lineRule="auto"/>
      <w:ind w:left="0" w:hanging="2"/>
      <w:rPr>
        <w:color w:val="000000"/>
      </w:rPr>
    </w:pPr>
  </w:p>
</w:hdr>
</file>

<file path=word/intelligence.xml><?xml version="1.0" encoding="utf-8"?>
<int:Intelligence xmlns:int="http://schemas.microsoft.com/office/intelligence/2019/intelligence">
  <int:IntelligenceSettings/>
  <int:Manifest>
    <int:ParagraphRange paragraphId="1207395153" textId="1045177877" start="145" length="20" invalidationStart="145" invalidationLength="20" id="mwtPeCGr"/>
  </int:Manifest>
  <int:Observations>
    <int:Content id="mwtPeCGr">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67FB7F"/>
    <w:rsid w:val="00105D34"/>
    <w:rsid w:val="00263BF8"/>
    <w:rsid w:val="003F2A27"/>
    <w:rsid w:val="00436830"/>
    <w:rsid w:val="00D939E4"/>
    <w:rsid w:val="00F16CF2"/>
    <w:rsid w:val="0F160AC9"/>
    <w:rsid w:val="1A67FB7F"/>
    <w:rsid w:val="20598B3A"/>
    <w:rsid w:val="36D1485D"/>
    <w:rsid w:val="386D18BE"/>
    <w:rsid w:val="4029266F"/>
    <w:rsid w:val="4B2FFE9D"/>
    <w:rsid w:val="51805AD2"/>
    <w:rsid w:val="6E4C54FE"/>
    <w:rsid w:val="73BB1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4468"/>
  <w15:docId w15:val="{4C74AC7C-C359-4553-8AA1-1CF107E0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Nadpis1">
    <w:name w:val="heading 1"/>
    <w:basedOn w:val="Normln"/>
    <w:next w:val="Normln"/>
    <w:uiPriority w:val="9"/>
    <w:qFormat/>
    <w:pPr>
      <w:keepNext/>
      <w:keepLines/>
      <w:spacing w:before="240"/>
    </w:pPr>
    <w:rPr>
      <w:rFonts w:ascii="Calibri Light" w:eastAsia="Times New Roman" w:hAnsi="Calibri Light" w:cs="Times New Roman"/>
      <w:color w:val="2F5496"/>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qFormat/>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customStyle="1" w:styleId="ZpatChar">
    <w:name w:val="Zápatí Char"/>
    <w:basedOn w:val="Standardnpsmoodstavce"/>
    <w:rPr>
      <w:w w:val="100"/>
      <w:position w:val="-1"/>
      <w:effect w:val="none"/>
      <w:vertAlign w:val="baseline"/>
      <w:cs w:val="0"/>
      <w:em w:val="none"/>
    </w:rPr>
  </w:style>
  <w:style w:type="character" w:styleId="Hypertextovodkaz">
    <w:name w:val="Hyperlink"/>
    <w:qFormat/>
    <w:rPr>
      <w:color w:val="0563C1"/>
      <w:w w:val="100"/>
      <w:position w:val="-1"/>
      <w:u w:val="single"/>
      <w:effect w:val="none"/>
      <w:vertAlign w:val="baseline"/>
      <w:cs w:val="0"/>
      <w:em w:val="none"/>
    </w:rPr>
  </w:style>
  <w:style w:type="character" w:customStyle="1" w:styleId="Nadpis1Char">
    <w:name w:val="Nadpis 1 Char"/>
    <w:rPr>
      <w:rFonts w:ascii="Calibri Light" w:eastAsia="Times New Roman" w:hAnsi="Calibri Light" w:cs="Times New Roman"/>
      <w:color w:val="2F5496"/>
      <w:w w:val="100"/>
      <w:position w:val="-1"/>
      <w:sz w:val="32"/>
      <w:szCs w:val="32"/>
      <w:effect w:val="none"/>
      <w:vertAlign w:val="baseline"/>
      <w:cs w:val="0"/>
      <w:em w:val="none"/>
    </w:rPr>
  </w:style>
  <w:style w:type="paragraph" w:styleId="Textbubliny">
    <w:name w:val="Balloon Text"/>
    <w:basedOn w:val="Normln"/>
    <w:qFormat/>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customStyle="1" w:styleId="Heading">
    <w:name w:val="Heading"/>
    <w:basedOn w:val="Normln"/>
    <w:rPr>
      <w:rFonts w:ascii="Arial" w:hAnsi="Arial" w:cs="Arial"/>
      <w:b/>
      <w:color w:val="83ACD6"/>
      <w:sz w:val="22"/>
      <w:szCs w:val="22"/>
    </w:rPr>
  </w:style>
  <w:style w:type="paragraph" w:customStyle="1" w:styleId="Body">
    <w:name w:val="Body"/>
    <w:basedOn w:val="Normln"/>
    <w:rPr>
      <w:rFonts w:ascii="Arial" w:hAnsi="Arial" w:cs="Arial"/>
      <w:sz w:val="22"/>
      <w:szCs w:val="22"/>
    </w:rPr>
  </w:style>
  <w:style w:type="character" w:customStyle="1" w:styleId="HeadingChar">
    <w:name w:val="Heading Char"/>
    <w:rPr>
      <w:rFonts w:ascii="Arial" w:hAnsi="Arial" w:cs="Arial"/>
      <w:b/>
      <w:color w:val="83ACD6"/>
      <w:w w:val="100"/>
      <w:position w:val="-1"/>
      <w:sz w:val="22"/>
      <w:szCs w:val="22"/>
      <w:effect w:val="none"/>
      <w:vertAlign w:val="baseline"/>
      <w:cs w:val="0"/>
      <w:em w:val="none"/>
      <w:lang w:val="cs-CZ"/>
    </w:rPr>
  </w:style>
  <w:style w:type="character" w:styleId="Siln">
    <w:name w:val="Strong"/>
    <w:rPr>
      <w:b/>
      <w:bCs/>
      <w:w w:val="100"/>
      <w:position w:val="-1"/>
      <w:effect w:val="none"/>
      <w:vertAlign w:val="baseline"/>
      <w:cs w:val="0"/>
      <w:em w:val="none"/>
    </w:rPr>
  </w:style>
  <w:style w:type="character" w:customStyle="1" w:styleId="BodyChar">
    <w:name w:val="Body Char"/>
    <w:rPr>
      <w:rFonts w:ascii="Arial" w:hAnsi="Arial" w:cs="Arial"/>
      <w:w w:val="100"/>
      <w:position w:val="-1"/>
      <w:sz w:val="22"/>
      <w:szCs w:val="22"/>
      <w:effect w:val="none"/>
      <w:vertAlign w:val="baseline"/>
      <w:cs w:val="0"/>
      <w:em w:val="none"/>
      <w:lang w:val="cs-CZ"/>
    </w:rPr>
  </w:style>
  <w:style w:type="paragraph" w:styleId="Normlnweb">
    <w:name w:val="Normal (Web)"/>
    <w:basedOn w:val="Normln"/>
    <w:qFormat/>
    <w:pPr>
      <w:spacing w:before="100" w:beforeAutospacing="1" w:after="100" w:afterAutospacing="1"/>
    </w:pPr>
    <w:rPr>
      <w:rFonts w:ascii="Times New Roman" w:eastAsia="Times New Roman" w:hAnsi="Times New Roman"/>
      <w:lang w:eastAsia="cs-CZ"/>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Sledovanodkaz">
    <w:name w:val="FollowedHyperlink"/>
    <w:qFormat/>
    <w:rPr>
      <w:color w:val="954F72"/>
      <w:w w:val="100"/>
      <w:position w:val="-1"/>
      <w:u w:val="single"/>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90a45ea2850c4c6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ecura.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ana.barcakova@4jan.cz"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359A8EEEC6849A8496B9546545C18" ma:contentTypeVersion="13" ma:contentTypeDescription="Create a new document." ma:contentTypeScope="" ma:versionID="1b05c693038ca0f0def33c75482358fd">
  <xsd:schema xmlns:xsd="http://www.w3.org/2001/XMLSchema" xmlns:xs="http://www.w3.org/2001/XMLSchema" xmlns:p="http://schemas.microsoft.com/office/2006/metadata/properties" xmlns:ns2="6a03923f-64b8-4a62-9624-d681f2482c0f" xmlns:ns3="1d5d45ce-b3e7-48ad-a773-9977969d99d7" targetNamespace="http://schemas.microsoft.com/office/2006/metadata/properties" ma:root="true" ma:fieldsID="bd8aa29e0516b5a101147e3e0cfe8a43" ns2:_="" ns3:_="">
    <xsd:import namespace="6a03923f-64b8-4a62-9624-d681f2482c0f"/>
    <xsd:import namespace="1d5d45ce-b3e7-48ad-a773-9977969d99d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923f-64b8-4a62-9624-d681f2482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d45ce-b3e7-48ad-a773-9977969d99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Nb+t24vhGEBXnSl5BtGak0skKYg==">AMUW2mWLlbvB68nrrWXvnX1lX25A6MNuJpfVooglRop58Wm1Mysu08atfBf0Xc0ylxhUq8lb9RglQMducPWBMGRE4tGBc2HqvdQ/ry/6Rhr1LOMzxvZ7peg=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6AFCE-C7DC-4050-B71C-F5855DA05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E2BF8-89FF-4FBF-9FAB-16FC737D6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3923f-64b8-4a62-9624-d681f2482c0f"/>
    <ds:schemaRef ds:uri="1d5d45ce-b3e7-48ad-a773-9977969d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932A342-94AD-4A84-961F-09412E614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2571</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Koprivova [SeniorHolding]</dc:creator>
  <cp:lastModifiedBy>Vaneckova Lucie [SeneCura CZ]</cp:lastModifiedBy>
  <cp:revision>8</cp:revision>
  <dcterms:created xsi:type="dcterms:W3CDTF">2021-07-02T08:40:00Z</dcterms:created>
  <dcterms:modified xsi:type="dcterms:W3CDTF">2022-04-04T13:37:00Z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0x010100314359A8EEEC6849A8496B9546545C18</vt:lpwstr>
  </property>
</Properties>
</file>