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c00000"/>
          <w:sz w:val="30"/>
          <w:szCs w:val="30"/>
          <w:rtl w:val="0"/>
        </w:rPr>
        <w:t xml:space="preserve">Klienti SeniorCentra Liberec oslavili Mezinárodní den žen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Okamžiky společné oslavy Mezinárodního dne žen zažili klientky a klienti libereckéh SeneCura SeniorCentra. Hlavní role oslavenkyň samozřejmě patřila klientkám, důležitou úlohu však měli i pánové.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Právě klienti z řad mužů totiž dámám rozdali květiny, nedílnou součást tohoto svátku. Do jejich čela se postavil aktivizační pracovník SeniorCentra </w:t>
      </w:r>
      <w:r w:rsidDel="00000000" w:rsidR="00000000" w:rsidRPr="00000000">
        <w:rPr>
          <w:sz w:val="24"/>
          <w:szCs w:val="24"/>
          <w:rtl w:val="0"/>
        </w:rPr>
        <w:t xml:space="preserve">Lukáš Pokorný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„Jsem rád, že jako aktivizační pracovník – muž, mohu být jedním z těch, kteří našim ženám  připraví oslavu tohoto Mezinárodního dne a přímo se účastnit, spolu s ostatními klienty, rozdávání květin,“ </w:t>
      </w:r>
      <w:r w:rsidDel="00000000" w:rsidR="00000000" w:rsidRPr="00000000">
        <w:rPr>
          <w:sz w:val="24"/>
          <w:szCs w:val="24"/>
          <w:rtl w:val="0"/>
        </w:rPr>
        <w:t xml:space="preserve">říká Lukáš Pokorný.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Součástí oslavy bylo také občerstvení v místní jídelně, která byla vyzdobená balonky, a promítání videa s tématikou MDŽ.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“Je skvělé, že díky klesající intenzitě covidové pandemie můžeme opět realizovat společné aktivity pro naše klienty,”</w:t>
      </w:r>
      <w:r w:rsidDel="00000000" w:rsidR="00000000" w:rsidRPr="00000000">
        <w:rPr>
          <w:sz w:val="24"/>
          <w:szCs w:val="24"/>
          <w:rtl w:val="0"/>
        </w:rPr>
        <w:t xml:space="preserve"> dodává ředitelka libereckého SeniorCentra Senecura Lucie Čechová.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Zařízení pro seniory však nezapomnělo ani na vlastní zaměstnankyně, které v rámci oslav Mezinárodního dne žen obdržely dárkové balíčky.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Kontakt: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4JAN PR, Jana Barčáková, tel.: 603 820 382, jana.barcakova@4jan.cz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SeneCura SeniorCentrum Liberec nabízí sociální služby Domov pro seniory, Domov se zvláštním režimem (zaměřený na péči o seniory trpící Alzheimerovou chorobu či jinou formou demence) a Odlehčovací služba. Svým klientům zde zajišťují péči 24 hodin 7 dní v týdnu. Kromě zdravotní, ošetřovatelské a sociální péče nabízí domov širokou škálu doplňkových služeb i bohatý výběr volnočasových aktivit, má i vlastní fitness, kapli nebo kadeřnictví. Podporuje mezigenerační setkávání a jeho cílem je stát se komunitním centrem a rozvíjet soužití klientů, jejich příbuzných, zaměstnanců SeneCura, dobrovolníků a veřejných orgánů. Zařízení SeneCura jsou založena na partnerství, spolupráci, inovacích, kvalitní péči, ale i na vysoké kvalitě života ve stáří, v současné době je jich v provozu 16 a další jsou ve výstavbě. www.liberec.senecura.cz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070" w:top="3060" w:left="993" w:right="1127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w Modelic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Bw Modelica" w:cs="Bw Modelica" w:eastAsia="Bw Modelica" w:hAnsi="Bw Modelic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83acd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-633729</wp:posOffset>
          </wp:positionH>
          <wp:positionV relativeFrom="paragraph">
            <wp:posOffset>-142874</wp:posOffset>
          </wp:positionV>
          <wp:extent cx="7537450" cy="1066292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7450" cy="10662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ing">
    <w:name w:val="Heading"/>
    <w:basedOn w:val="Normální"/>
    <w:next w:val="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cs-CZ"/>
    </w:rPr>
  </w:style>
  <w:style w:type="paragraph" w:styleId="Body">
    <w:name w:val="Body"/>
    <w:basedOn w:val="Normální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cs-CZ"/>
    </w:rPr>
  </w:style>
  <w:style w:type="character" w:styleId="HeadingChar">
    <w:name w:val="Heading Char"/>
    <w:next w:val="HeadingChar"/>
    <w:autoRedefine w:val="0"/>
    <w:hidden w:val="0"/>
    <w:qFormat w:val="0"/>
    <w:rPr>
      <w:rFonts w:ascii="Arial" w:cs="Arial" w:hAnsi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BodyChar">
    <w:name w:val="Body Char"/>
    <w:next w:val="Body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XwQchNmnKMaPY4cTTx5GQo0oA==">AMUW2mX7gAdbMhoQEfemZ+E/scMPpIrFN172FKpTcOFA10oK7WJg6A0jnS6fTHnDyVJ7yQiXNYfKHtEy61nOfmxNTOTNZFOeZsOVvwj8HG2jBshrXhi1Ct8=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CA108C7-ECA9-4158-9753-95ECEF22C0CD}"/>
</file>

<file path=customXML/itemProps3.xml><?xml version="1.0" encoding="utf-8"?>
<ds:datastoreItem xmlns:ds="http://schemas.openxmlformats.org/officeDocument/2006/customXml" ds:itemID="{4E3834A8-B62E-455A-9A5A-6001A0B33A57}"/>
</file>

<file path=customXML/itemProps4.xml><?xml version="1.0" encoding="utf-8"?>
<ds:datastoreItem xmlns:ds="http://schemas.openxmlformats.org/officeDocument/2006/customXml" ds:itemID="{3E553944-ABF6-4FBA-9291-E577FE31621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Koprivova [SeniorHolding]</dc:creator>
  <dcterms:created xsi:type="dcterms:W3CDTF">2022-01-13T20:53:00Z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