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9" w:rsidP="00440229" w:rsidRDefault="00440229" w14:paraId="1AF45D98" w14:textId="11C65CF5">
      <w:pPr>
        <w:rPr>
          <w:rFonts w:ascii="Arial" w:hAnsi="Arial" w:eastAsia="Arial" w:cs="Arial"/>
          <w:b/>
          <w:bCs/>
          <w:noProof/>
          <w:color w:val="C00000"/>
          <w:sz w:val="28"/>
          <w:szCs w:val="28"/>
          <w:lang w:val="en-US"/>
        </w:rPr>
      </w:pPr>
      <w:r w:rsidRPr="730F9435">
        <w:rPr>
          <w:rFonts w:ascii="Arial" w:hAnsi="Arial" w:eastAsia="Arial" w:cs="Arial"/>
          <w:b/>
          <w:bCs/>
          <w:noProof/>
          <w:color w:val="C00000"/>
          <w:sz w:val="28"/>
          <w:szCs w:val="28"/>
          <w:lang w:val="en-US"/>
        </w:rPr>
        <w:t>První PPP projekt v sociální oblasti: V Humpolci slavnostně otevřeli nový domov pro seniory</w:t>
      </w:r>
    </w:p>
    <w:p w:rsidR="00440229" w:rsidP="00440229" w:rsidRDefault="00440229" w14:paraId="01E8E70B" w14:textId="77777777">
      <w:pPr>
        <w:rPr>
          <w:rFonts w:ascii="Arial" w:hAnsi="Arial" w:eastAsia="Arial" w:cs="Arial"/>
          <w:b/>
          <w:bCs/>
          <w:noProof/>
          <w:color w:val="C00000"/>
          <w:sz w:val="28"/>
          <w:szCs w:val="28"/>
        </w:rPr>
      </w:pPr>
    </w:p>
    <w:p w:rsidR="00440229" w:rsidP="00440229" w:rsidRDefault="00440229" w14:paraId="2BB74425" w14:textId="77777777">
      <w:pPr>
        <w:rPr>
          <w:rFonts w:ascii="Arial" w:hAnsi="Arial" w:eastAsia="Arial" w:cs="Arial"/>
          <w:noProof/>
        </w:rPr>
      </w:pPr>
      <w:r w:rsidRPr="03155C78">
        <w:rPr>
          <w:rFonts w:ascii="Arial" w:hAnsi="Arial" w:eastAsia="Arial" w:cs="Arial"/>
          <w:noProof/>
          <w:sz w:val="22"/>
          <w:szCs w:val="22"/>
          <w:lang w:val="en-US"/>
        </w:rPr>
        <w:t xml:space="preserve">30. 8. 2022 </w:t>
      </w:r>
    </w:p>
    <w:p w:rsidR="03155C78" w:rsidP="03155C78" w:rsidRDefault="03155C78" w14:paraId="3C926D29" w14:textId="2D296E5A">
      <w:pPr>
        <w:rPr>
          <w:rFonts w:ascii="Arial" w:hAnsi="Arial" w:eastAsia="Arial" w:cs="Arial"/>
          <w:noProof/>
          <w:sz w:val="22"/>
          <w:szCs w:val="22"/>
          <w:lang w:val="en-US"/>
        </w:rPr>
      </w:pPr>
    </w:p>
    <w:p w:rsidR="00440229" w:rsidP="00440229" w:rsidRDefault="00440229" w14:paraId="30BE1490" w14:textId="29C365FF">
      <w:pPr>
        <w:rPr>
          <w:rFonts w:ascii="Arial" w:hAnsi="Arial" w:eastAsia="Arial" w:cs="Arial"/>
          <w:b w:val="1"/>
          <w:bCs w:val="1"/>
          <w:noProof/>
          <w:sz w:val="22"/>
          <w:szCs w:val="22"/>
          <w:lang w:val="en-US"/>
        </w:rPr>
      </w:pPr>
      <w:r w:rsidRPr="5CBD0AD0" w:rsidR="00440229">
        <w:rPr>
          <w:rFonts w:ascii="Arial" w:hAnsi="Arial" w:eastAsia="Arial" w:cs="Arial"/>
          <w:b w:val="1"/>
          <w:bCs w:val="1"/>
          <w:noProof/>
          <w:sz w:val="22"/>
          <w:szCs w:val="22"/>
          <w:lang w:val="en-US"/>
        </w:rPr>
        <w:t>Skupina</w:t>
      </w:r>
      <w:r w:rsidRPr="5CBD0AD0" w:rsidR="7DE367A4">
        <w:rPr>
          <w:rFonts w:ascii="Arial" w:hAnsi="Arial" w:eastAsia="Arial" w:cs="Arial"/>
          <w:b w:val="1"/>
          <w:bCs w:val="1"/>
          <w:noProof/>
          <w:sz w:val="22"/>
          <w:szCs w:val="22"/>
          <w:lang w:val="en-US"/>
        </w:rPr>
        <w:t xml:space="preserve"> </w:t>
      </w:r>
      <w:r w:rsidRPr="5CBD0AD0" w:rsidR="00440229">
        <w:rPr>
          <w:rFonts w:ascii="Arial" w:hAnsi="Arial" w:eastAsia="Arial" w:cs="Arial"/>
          <w:b w:val="1"/>
          <w:bCs w:val="1"/>
          <w:noProof/>
          <w:sz w:val="22"/>
          <w:szCs w:val="22"/>
          <w:lang w:val="en-US"/>
        </w:rPr>
        <w:t>SeneCura oficiálně otevřela svůj v pořadí 17. domov pro seniory v České republice a 3. v kraji Vysočina. V Humpolci vznikl díky partnerství veřejného a soukromého sektoru. Slavnostního otevření se zúčastnili jak zástupci vedení společnosti, tak kraje a místní samosprávy.</w:t>
      </w:r>
    </w:p>
    <w:p w:rsidR="00440229" w:rsidP="00440229" w:rsidRDefault="00440229" w14:paraId="5B8C2C49" w14:textId="77777777">
      <w:pPr>
        <w:rPr>
          <w:rFonts w:ascii="Arial" w:hAnsi="Arial" w:eastAsia="Arial" w:cs="Arial"/>
          <w:b/>
          <w:bCs/>
          <w:noProof/>
        </w:rPr>
      </w:pPr>
    </w:p>
    <w:p w:rsidR="0082165B" w:rsidP="00440229" w:rsidRDefault="0082165B" w14:paraId="7D72A5A6" w14:textId="77777777">
      <w:pPr>
        <w:rPr>
          <w:rFonts w:ascii="Arial" w:hAnsi="Arial" w:eastAsia="Arial" w:cs="Arial"/>
          <w:noProof/>
          <w:sz w:val="22"/>
          <w:szCs w:val="22"/>
          <w:lang w:val="en-US"/>
        </w:rPr>
      </w:pP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Modern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SeniorCentrum SeneCura disponuje celkovou kapacitou 203 l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ůž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ek. Po dokon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en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se do 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j p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est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hovali klienti ze dvou dosluhuj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c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ch domov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ů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v Humpolci. 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„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Pro Kraj Vyso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ina je to historicky prvn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projekt, kter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ý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vznikl v r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mci spolupr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ce ve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ejn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ho a soukrom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ho sektoru. D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ky dohod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kraje se spole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nost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SeneCura se poda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ilo vybudovat a provozovat na Vyso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nov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modern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soci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slu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ž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by, kter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dle sou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asn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ho evropsk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ho trendu spl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ň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uj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vysok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roky na p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 o seniory. Nov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ý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domov je sou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st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krajsk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é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soci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ln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s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t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a kraj tak bude na provoz za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zen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finan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n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p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isp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vat," 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ří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k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á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 xml:space="preserve"> hejtman Kraje Vyso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č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ina V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í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t</w:t>
      </w:r>
      <w:r w:rsidRPr="0082165B">
        <w:rPr>
          <w:rFonts w:hint="cs" w:ascii="Arial" w:hAnsi="Arial" w:eastAsia="Arial" w:cs="Arial"/>
          <w:noProof/>
          <w:sz w:val="22"/>
          <w:szCs w:val="22"/>
          <w:lang w:val="en-US"/>
        </w:rPr>
        <w:t>ě</w:t>
      </w:r>
      <w:r w:rsidRPr="0082165B">
        <w:rPr>
          <w:rFonts w:ascii="Arial" w:hAnsi="Arial" w:eastAsia="Arial" w:cs="Arial"/>
          <w:noProof/>
          <w:sz w:val="22"/>
          <w:szCs w:val="22"/>
          <w:lang w:val="en-US"/>
        </w:rPr>
        <w:t>zslav Schrek.</w:t>
      </w:r>
    </w:p>
    <w:p w:rsidR="00440229" w:rsidP="00440229" w:rsidRDefault="00440229" w14:paraId="072798FB" w14:textId="7EFE50E7">
      <w:pPr>
        <w:rPr>
          <w:rFonts w:ascii="Arial" w:hAnsi="Arial" w:eastAsia="Arial" w:cs="Arial"/>
          <w:noProof/>
        </w:rPr>
      </w:pP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 xml:space="preserve"> </w:t>
      </w:r>
    </w:p>
    <w:p w:rsidR="00440229" w:rsidP="00440229" w:rsidRDefault="00440229" w14:paraId="15247F4C" w14:textId="10A5D44F">
      <w:pPr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</w:pPr>
      <w:r w:rsidRPr="03155C7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Domov oficiálně otevřeli kromě hejtmana také radní Kraje Vysočina pro sociální oblast Jan Tourek, prezident Asociace poskytovatelů sociálních služeb Jiří Horecký, starosta Humpolce Karel Kratochvíl. Za společnost SeneCura se zúčastnili </w:t>
      </w:r>
      <w:r w:rsidRPr="03155C78" w:rsidR="0B0D3A4D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>CFO</w:t>
      </w:r>
      <w:r w:rsidRPr="03155C78" w:rsidR="00CF5B3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 skupiny SeneCura </w:t>
      </w:r>
      <w:r w:rsidRPr="03155C7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>Dita Chrastilová</w:t>
      </w:r>
      <w:r w:rsidRPr="03155C78" w:rsidR="5F69C504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 pro region střední a východní Evropy</w:t>
      </w:r>
      <w:r w:rsidR="0082165B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 (CEE)</w:t>
      </w:r>
      <w:r w:rsidRPr="03155C78" w:rsidR="5F69C504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, COO </w:t>
      </w:r>
      <w:r w:rsidR="0082165B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skupiny SeneCura pro CEE </w:t>
      </w:r>
      <w:r w:rsidRPr="03155C78" w:rsidR="5F69C504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>Markus Schwarz</w:t>
      </w:r>
      <w:r w:rsidRPr="03155C7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, provozní ředitelka </w:t>
      </w:r>
      <w:r w:rsidRPr="03155C78" w:rsidR="00CF5B3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 xml:space="preserve">skupiny SeneCura v ČR </w:t>
      </w:r>
      <w:r w:rsidRPr="03155C78">
        <w:rPr>
          <w:rFonts w:ascii="Arial" w:hAnsi="Arial" w:eastAsia="Arial" w:cs="Arial"/>
          <w:noProof/>
          <w:color w:val="000000" w:themeColor="text1"/>
          <w:sz w:val="22"/>
          <w:szCs w:val="22"/>
          <w:lang w:val="en-US"/>
        </w:rPr>
        <w:t>Věra Husáková a ředitel SeniorCentra Humpolec Jiří Vlček.</w:t>
      </w:r>
      <w:bookmarkStart w:name="_GoBack" w:id="0"/>
      <w:bookmarkEnd w:id="0"/>
    </w:p>
    <w:p w:rsidR="00440229" w:rsidP="00440229" w:rsidRDefault="00440229" w14:paraId="3128FAA5" w14:textId="77777777">
      <w:pPr>
        <w:rPr>
          <w:rFonts w:ascii="Arial" w:hAnsi="Arial" w:eastAsia="Arial" w:cs="Arial"/>
          <w:noProof/>
          <w:color w:val="000000" w:themeColor="text1"/>
        </w:rPr>
      </w:pPr>
    </w:p>
    <w:p w:rsidR="00440229" w:rsidP="00440229" w:rsidRDefault="00440229" w14:paraId="34343D3C" w14:textId="77777777">
      <w:pPr>
        <w:rPr>
          <w:rFonts w:ascii="Arial" w:hAnsi="Arial" w:eastAsia="Arial" w:cs="Arial"/>
          <w:noProof/>
        </w:rPr>
      </w:pP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>Projekt je první svého druhu v oblasti sociální péče. Zařízení patří Kraji Vysočina, náklady na jeho vybudování a závazek provozovat domov 25 let ale nese společnost SeneCura. Domov je tedy součástí krajské sítě sociálních služeb, poplatky se tudíž nijak neliší od ostatních krajských zařízení.</w:t>
      </w:r>
    </w:p>
    <w:p w:rsidR="00440229" w:rsidP="00440229" w:rsidRDefault="00440229" w14:paraId="531DEA3B" w14:textId="0C2448C9">
      <w:pPr>
        <w:rPr>
          <w:rFonts w:ascii="Arial" w:hAnsi="Arial" w:eastAsia="Arial" w:cs="Arial"/>
          <w:noProof/>
          <w:sz w:val="22"/>
          <w:szCs w:val="22"/>
          <w:lang w:val="en-US"/>
        </w:rPr>
      </w:pP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 xml:space="preserve">V SeniorCentru funguje část lůžek v rámci služby Domova pro seniory a část jako Domov se zvláštním režimem pro seniory s Alzheimerovou chorobou či jiným typem demence. Klienti mají k dispozici vybavení pro různé formy terapie, masáže či cvičení. </w:t>
      </w:r>
    </w:p>
    <w:p w:rsidR="00440229" w:rsidP="00440229" w:rsidRDefault="00440229" w14:paraId="67090D60" w14:textId="77777777">
      <w:pPr>
        <w:rPr>
          <w:rFonts w:ascii="Arial" w:hAnsi="Arial" w:eastAsia="Arial" w:cs="Arial"/>
          <w:noProof/>
        </w:rPr>
      </w:pPr>
    </w:p>
    <w:p w:rsidR="00440229" w:rsidP="00440229" w:rsidRDefault="00440229" w14:paraId="3DAFC58E" w14:textId="61530B37">
      <w:pPr>
        <w:rPr>
          <w:rFonts w:ascii="Arial" w:hAnsi="Arial" w:eastAsia="Arial" w:cs="Arial"/>
          <w:noProof/>
          <w:sz w:val="22"/>
          <w:szCs w:val="22"/>
        </w:rPr>
      </w:pPr>
      <w:r w:rsidRPr="34F3831B">
        <w:rPr>
          <w:rFonts w:ascii="Arial" w:hAnsi="Arial" w:eastAsia="Arial" w:cs="Arial"/>
          <w:noProof/>
          <w:sz w:val="22"/>
          <w:szCs w:val="22"/>
        </w:rPr>
        <w:t xml:space="preserve">V porovnání se dvěma staršími domovy v Humpolci je ubytování zařízené v moderním designu a je také útulnější. </w:t>
      </w:r>
      <w:r w:rsidRPr="34F3831B">
        <w:rPr>
          <w:rFonts w:ascii="Arial" w:hAnsi="Arial" w:eastAsia="Arial" w:cs="Arial"/>
          <w:i/>
          <w:iCs/>
          <w:noProof/>
          <w:sz w:val="22"/>
          <w:szCs w:val="22"/>
        </w:rPr>
        <w:t>„Pokoje spíše připomínají domácnosti, kde se klienti mohou skutečně cítit jako doma, společně v menší skupině trávit volný čas, a hlavně mít dostatek pohodlí a prostoru,"</w:t>
      </w:r>
      <w:r w:rsidRPr="34F3831B">
        <w:rPr>
          <w:rFonts w:ascii="Arial" w:hAnsi="Arial" w:eastAsia="Arial" w:cs="Arial"/>
          <w:noProof/>
          <w:sz w:val="22"/>
          <w:szCs w:val="22"/>
        </w:rPr>
        <w:t xml:space="preserve"> říká finanční ředitelka skupiny SeneCura Dita Chrastilová.</w:t>
      </w:r>
    </w:p>
    <w:p w:rsidR="00440229" w:rsidP="00440229" w:rsidRDefault="00440229" w14:paraId="49E23A09" w14:textId="77777777">
      <w:pPr>
        <w:rPr>
          <w:rFonts w:ascii="Arial" w:hAnsi="Arial" w:eastAsia="Arial" w:cs="Arial"/>
          <w:noProof/>
        </w:rPr>
      </w:pPr>
    </w:p>
    <w:p w:rsidR="00440229" w:rsidP="00440229" w:rsidRDefault="00440229" w14:paraId="1B3AB68C" w14:textId="06D94B2E">
      <w:pPr>
        <w:rPr>
          <w:rFonts w:ascii="Arial" w:hAnsi="Arial" w:eastAsia="Arial" w:cs="Arial"/>
          <w:noProof/>
          <w:sz w:val="22"/>
          <w:szCs w:val="22"/>
          <w:lang w:val="en-US"/>
        </w:rPr>
      </w:pP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>Součástí péče v centrech SeneCura je široká paleta aktivit, díky nimž klienti mohou aktivně využívat volný čas - od cvičení přes tvořivé činnosti až po nejrůznější společenské události. Cílem je přitom zejména vnést do každodennosti seniorů radost, rozptýlení a možnost co nejvíce pokračovat v běžném životě.</w:t>
      </w:r>
    </w:p>
    <w:p w:rsidR="00440229" w:rsidP="00440229" w:rsidRDefault="00440229" w14:paraId="5925EA5E" w14:textId="77777777">
      <w:pPr>
        <w:rPr>
          <w:rFonts w:ascii="Arial" w:hAnsi="Arial" w:eastAsia="Arial" w:cs="Arial"/>
          <w:noProof/>
          <w:color w:val="FF0000"/>
        </w:rPr>
      </w:pPr>
    </w:p>
    <w:p w:rsidR="00440229" w:rsidP="00440229" w:rsidRDefault="00440229" w14:paraId="3679EA28" w14:textId="77777777">
      <w:pPr>
        <w:rPr>
          <w:rFonts w:ascii="Arial" w:hAnsi="Arial" w:eastAsia="Arial" w:cs="Arial"/>
          <w:noProof/>
        </w:rPr>
      </w:pP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 xml:space="preserve">SeniorCentra společnosti SeneCura hrají roli i pro propojování generací a prohlubování respektu ke stáří. </w:t>
      </w:r>
      <w:r w:rsidRPr="34F3831B">
        <w:rPr>
          <w:rFonts w:ascii="Arial" w:hAnsi="Arial" w:eastAsia="Arial" w:cs="Arial"/>
          <w:i/>
          <w:iCs/>
          <w:noProof/>
          <w:sz w:val="22"/>
          <w:szCs w:val="22"/>
          <w:lang w:val="en-US"/>
        </w:rPr>
        <w:t>„Důležitou součástí našich aktivit je setkávání mezi našimi klienty a dětmi či studenty z okolních školek a škol. Společně podnikají řadu činností, ať už se jedná o vyprávění ze života, výtvarné dílny nebo čtení,"</w:t>
      </w:r>
      <w:r w:rsidRPr="34F3831B">
        <w:rPr>
          <w:rFonts w:ascii="Arial" w:hAnsi="Arial" w:eastAsia="Arial" w:cs="Arial"/>
          <w:noProof/>
          <w:sz w:val="22"/>
          <w:szCs w:val="22"/>
          <w:lang w:val="en-US"/>
        </w:rPr>
        <w:t xml:space="preserve"> doplňuje Věra Husáková, provozní ředitelka SeneCura.</w:t>
      </w:r>
    </w:p>
    <w:p w:rsidR="00440229" w:rsidP="00440229" w:rsidRDefault="00440229" w14:paraId="7E18DD70" w14:textId="77777777">
      <w:pPr>
        <w:rPr>
          <w:rFonts w:ascii="Arial" w:hAnsi="Arial" w:eastAsia="Arial" w:cs="Arial"/>
          <w:noProof/>
        </w:rPr>
      </w:pPr>
    </w:p>
    <w:p w:rsidR="00440229" w:rsidP="00440229" w:rsidRDefault="00440229" w14:paraId="1AF41AE2" w14:textId="77777777">
      <w:pPr>
        <w:rPr>
          <w:rFonts w:ascii="Arial" w:hAnsi="Arial" w:eastAsia="Arial" w:cs="Arial"/>
          <w:noProof/>
          <w:color w:val="000000" w:themeColor="text1"/>
          <w:sz w:val="18"/>
          <w:szCs w:val="18"/>
        </w:rPr>
      </w:pPr>
      <w:r w:rsidRPr="644D8901">
        <w:rPr>
          <w:rFonts w:ascii="Arial" w:hAnsi="Arial" w:eastAsia="Arial" w:cs="Arial"/>
          <w:b/>
          <w:bCs/>
          <w:noProof/>
          <w:color w:val="000000" w:themeColor="text1"/>
          <w:sz w:val="18"/>
          <w:szCs w:val="18"/>
        </w:rPr>
        <w:t>Kontakt:</w:t>
      </w:r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 xml:space="preserve"> 4JAN PR, Jana Barčáková, tel.: 603 820 382, </w:t>
      </w:r>
      <w:hyperlink r:id="rId11">
        <w:r w:rsidRPr="644D8901">
          <w:rPr>
            <w:rStyle w:val="Hypertextovodkaz"/>
            <w:rFonts w:ascii="Arial" w:hAnsi="Arial" w:eastAsia="Arial" w:cs="Arial"/>
            <w:noProof/>
            <w:sz w:val="18"/>
            <w:szCs w:val="18"/>
          </w:rPr>
          <w:t>jana.barcakova@4jan.cz</w:t>
        </w:r>
      </w:hyperlink>
    </w:p>
    <w:p w:rsidR="00440229" w:rsidP="00440229" w:rsidRDefault="00440229" w14:paraId="21B81A0F" w14:textId="77777777">
      <w:pPr>
        <w:rPr>
          <w:rFonts w:ascii="Arial" w:hAnsi="Arial" w:eastAsia="Arial" w:cs="Arial"/>
          <w:noProof/>
          <w:color w:val="000000" w:themeColor="text1"/>
          <w:sz w:val="18"/>
          <w:szCs w:val="18"/>
        </w:rPr>
      </w:pPr>
    </w:p>
    <w:p w:rsidR="00440229" w:rsidP="00440229" w:rsidRDefault="00440229" w14:paraId="2ECC6FA4" w14:textId="77777777">
      <w:pPr>
        <w:rPr>
          <w:rFonts w:ascii="Arial" w:hAnsi="Arial" w:eastAsia="Arial" w:cs="Arial"/>
          <w:noProof/>
          <w:color w:val="000000" w:themeColor="text1"/>
          <w:sz w:val="18"/>
          <w:szCs w:val="18"/>
        </w:rPr>
      </w:pPr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440229" w:rsidP="00440229" w:rsidRDefault="00440229" w14:paraId="73E3B746" w14:textId="77777777">
      <w:pPr>
        <w:rPr>
          <w:rFonts w:ascii="Arial" w:hAnsi="Arial" w:eastAsia="Arial" w:cs="Arial"/>
          <w:noProof/>
          <w:color w:val="000000" w:themeColor="text1"/>
          <w:sz w:val="18"/>
          <w:szCs w:val="18"/>
        </w:rPr>
      </w:pPr>
      <w:r w:rsidRPr="644D8901">
        <w:rPr>
          <w:rFonts w:ascii="Arial" w:hAnsi="Arial" w:eastAsia="Arial" w:cs="Arial"/>
          <w:b/>
          <w:bCs/>
          <w:noProof/>
          <w:color w:val="000000" w:themeColor="text1"/>
          <w:sz w:val="18"/>
          <w:szCs w:val="18"/>
        </w:rPr>
        <w:t>SeneCura SeniorCentrum Humpolec</w:t>
      </w:r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 xml:space="preserve"> nabízí sociální služby </w:t>
      </w:r>
      <w:hyperlink r:id="rId12">
        <w:r w:rsidRPr="644D8901">
          <w:rPr>
            <w:rStyle w:val="Hypertextovodkaz"/>
            <w:rFonts w:ascii="Arial" w:hAnsi="Arial" w:eastAsia="Arial" w:cs="Arial"/>
            <w:noProof/>
            <w:sz w:val="18"/>
            <w:szCs w:val="18"/>
          </w:rPr>
          <w:t>Domov pro seniory</w:t>
        </w:r>
      </w:hyperlink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 xml:space="preserve"> a </w:t>
      </w:r>
      <w:hyperlink r:id="rId13">
        <w:r w:rsidRPr="644D8901">
          <w:rPr>
            <w:rStyle w:val="Hypertextovodkaz"/>
            <w:rFonts w:ascii="Arial" w:hAnsi="Arial" w:eastAsia="Arial" w:cs="Arial"/>
            <w:noProof/>
            <w:sz w:val="18"/>
            <w:szCs w:val="18"/>
          </w:rPr>
          <w:t>Domov se zvláštním režimem</w:t>
        </w:r>
      </w:hyperlink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 xml:space="preserve"> (pro seniory trpící Alzheimerovou chorobu či demencí). Svým klientům zde zajišťují péči 24 hodin 7 dní v týdnu. Kromě zdravotní, ošetřovatelské a sociální péče nabízí širokou škálu doplňkových služeb i bohatý výběr volnočasových aktivit. Skupina SeneCura je s více než 2 000 lůžky předním nestátním poskytovatelem pobytových sociálních služeb v České republice. V 17 SeniorCentrech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4">
        <w:r w:rsidRPr="644D8901">
          <w:rPr>
            <w:rStyle w:val="Hypertextovodkaz"/>
            <w:rFonts w:ascii="Arial" w:hAnsi="Arial" w:eastAsia="Arial" w:cs="Arial"/>
            <w:noProof/>
            <w:sz w:val="18"/>
            <w:szCs w:val="18"/>
          </w:rPr>
          <w:t>https://humpolec.senecura.cz/</w:t>
        </w:r>
      </w:hyperlink>
      <w:r w:rsidRPr="644D8901">
        <w:rPr>
          <w:rFonts w:ascii="Arial" w:hAnsi="Arial" w:eastAsia="Arial" w:cs="Arial"/>
          <w:noProof/>
          <w:color w:val="000000" w:themeColor="text1"/>
          <w:sz w:val="18"/>
          <w:szCs w:val="18"/>
        </w:rPr>
        <w:t xml:space="preserve"> </w:t>
      </w:r>
    </w:p>
    <w:p w:rsidR="00440229" w:rsidP="00440229" w:rsidRDefault="00440229" w14:paraId="01FAEA53" w14:textId="77777777">
      <w:pPr>
        <w:rPr>
          <w:rFonts w:ascii="Arial" w:hAnsi="Arial" w:eastAsia="Arial" w:cs="Arial"/>
          <w:noProof/>
        </w:rPr>
      </w:pPr>
    </w:p>
    <w:p w:rsidR="00440229" w:rsidP="00440229" w:rsidRDefault="00440229" w14:paraId="11FC293A" w14:textId="77777777">
      <w:pPr>
        <w:rPr>
          <w:rFonts w:ascii="Arial" w:hAnsi="Arial" w:eastAsia="Arial" w:cs="Arial"/>
          <w:noProof/>
        </w:rPr>
      </w:pPr>
    </w:p>
    <w:p w:rsidRPr="00375B85" w:rsidR="00375B85" w:rsidP="00FE5565" w:rsidRDefault="00FE5565" w14:paraId="30249924" w14:textId="27178E4C">
      <w:pPr>
        <w:rPr>
          <w:rFonts w:ascii="Arial" w:hAnsi="Arial" w:cs="Arial"/>
          <w:sz w:val="22"/>
          <w:szCs w:val="22"/>
        </w:rPr>
      </w:pPr>
      <w:r>
        <w:rPr>
          <w:rFonts w:ascii="Century Gothic" w:hAnsi="Century Gothic" w:eastAsia="Times New Roman"/>
          <w:color w:val="000000"/>
          <w:sz w:val="16"/>
          <w:szCs w:val="16"/>
          <w:lang w:eastAsia="cs-CZ"/>
        </w:rPr>
        <w:t xml:space="preserve"> </w:t>
      </w:r>
    </w:p>
    <w:sectPr w:rsidRPr="00375B85" w:rsidR="00375B85" w:rsidSect="001A07B9">
      <w:headerReference w:type="default" r:id="rId15"/>
      <w:footerReference w:type="default" r:id="rId16"/>
      <w:pgSz w:w="11900" w:h="16840" w:orient="portrait" w:code="9"/>
      <w:pgMar w:top="3060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A8" w:rsidP="00585905" w:rsidRDefault="00594DA8" w14:paraId="66CC4164" w14:textId="77777777">
      <w:r>
        <w:separator/>
      </w:r>
    </w:p>
  </w:endnote>
  <w:endnote w:type="continuationSeparator" w:id="0">
    <w:p w:rsidR="00594DA8" w:rsidP="00585905" w:rsidRDefault="00594DA8" w14:paraId="1ACE02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33C2C674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52442483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1B39944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A8" w:rsidP="00585905" w:rsidRDefault="00594DA8" w14:paraId="709D87E5" w14:textId="77777777">
      <w:r>
        <w:separator/>
      </w:r>
    </w:p>
  </w:footnote>
  <w:footnote w:type="continuationSeparator" w:id="0">
    <w:p w:rsidR="00594DA8" w:rsidP="00585905" w:rsidRDefault="00594DA8" w14:paraId="6FC9A1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5C60C9" w14:paraId="3798F6D3" w14:textId="5DBEF5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E9C5D9" wp14:editId="14304FA4">
          <wp:simplePos x="0" y="0"/>
          <wp:positionH relativeFrom="column">
            <wp:posOffset>-617303</wp:posOffset>
          </wp:positionH>
          <wp:positionV relativeFrom="paragraph">
            <wp:posOffset>-130893</wp:posOffset>
          </wp:positionV>
          <wp:extent cx="7576168" cy="10708501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68" cy="1070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1817"/>
    <w:rsid w:val="00091397"/>
    <w:rsid w:val="001168C5"/>
    <w:rsid w:val="0012124C"/>
    <w:rsid w:val="00162BBD"/>
    <w:rsid w:val="001665C6"/>
    <w:rsid w:val="00173F8C"/>
    <w:rsid w:val="00186984"/>
    <w:rsid w:val="001A07B9"/>
    <w:rsid w:val="001B775D"/>
    <w:rsid w:val="00233426"/>
    <w:rsid w:val="00247327"/>
    <w:rsid w:val="002853F7"/>
    <w:rsid w:val="00374EB7"/>
    <w:rsid w:val="00375B85"/>
    <w:rsid w:val="00387AB8"/>
    <w:rsid w:val="003C39AB"/>
    <w:rsid w:val="00425AD2"/>
    <w:rsid w:val="00426EB7"/>
    <w:rsid w:val="00434AD4"/>
    <w:rsid w:val="00440229"/>
    <w:rsid w:val="004773A2"/>
    <w:rsid w:val="004E13C6"/>
    <w:rsid w:val="004F0651"/>
    <w:rsid w:val="00585905"/>
    <w:rsid w:val="00594DA8"/>
    <w:rsid w:val="005A6C18"/>
    <w:rsid w:val="005C60C9"/>
    <w:rsid w:val="006472AA"/>
    <w:rsid w:val="006706EA"/>
    <w:rsid w:val="006738F3"/>
    <w:rsid w:val="0069225D"/>
    <w:rsid w:val="006E5FF4"/>
    <w:rsid w:val="00701D4F"/>
    <w:rsid w:val="00734544"/>
    <w:rsid w:val="0074587C"/>
    <w:rsid w:val="00786C1D"/>
    <w:rsid w:val="007A543B"/>
    <w:rsid w:val="007E3B77"/>
    <w:rsid w:val="00811620"/>
    <w:rsid w:val="0081294B"/>
    <w:rsid w:val="00821431"/>
    <w:rsid w:val="0082165B"/>
    <w:rsid w:val="00871BFD"/>
    <w:rsid w:val="008930E5"/>
    <w:rsid w:val="00894F53"/>
    <w:rsid w:val="008C0619"/>
    <w:rsid w:val="008E0692"/>
    <w:rsid w:val="009149A1"/>
    <w:rsid w:val="00925CBE"/>
    <w:rsid w:val="00932B4C"/>
    <w:rsid w:val="00946B86"/>
    <w:rsid w:val="00984A94"/>
    <w:rsid w:val="009D58D6"/>
    <w:rsid w:val="00A12D49"/>
    <w:rsid w:val="00A20248"/>
    <w:rsid w:val="00A33E7B"/>
    <w:rsid w:val="00A413D1"/>
    <w:rsid w:val="00A45499"/>
    <w:rsid w:val="00A6009D"/>
    <w:rsid w:val="00A65201"/>
    <w:rsid w:val="00A72813"/>
    <w:rsid w:val="00A74D59"/>
    <w:rsid w:val="00A87CE7"/>
    <w:rsid w:val="00AC69BC"/>
    <w:rsid w:val="00B038C3"/>
    <w:rsid w:val="00B04078"/>
    <w:rsid w:val="00B058EA"/>
    <w:rsid w:val="00B4279D"/>
    <w:rsid w:val="00B54EA0"/>
    <w:rsid w:val="00B75CEF"/>
    <w:rsid w:val="00BF6C75"/>
    <w:rsid w:val="00C025D8"/>
    <w:rsid w:val="00C332A2"/>
    <w:rsid w:val="00C87177"/>
    <w:rsid w:val="00C95E5B"/>
    <w:rsid w:val="00C97802"/>
    <w:rsid w:val="00C97DAA"/>
    <w:rsid w:val="00CC393A"/>
    <w:rsid w:val="00CE73D7"/>
    <w:rsid w:val="00CF5B38"/>
    <w:rsid w:val="00D37B7C"/>
    <w:rsid w:val="00D42E95"/>
    <w:rsid w:val="00D612E2"/>
    <w:rsid w:val="00DB0636"/>
    <w:rsid w:val="00E530CD"/>
    <w:rsid w:val="00E81C1A"/>
    <w:rsid w:val="00E92697"/>
    <w:rsid w:val="00E9416D"/>
    <w:rsid w:val="00EB5C05"/>
    <w:rsid w:val="00EF4950"/>
    <w:rsid w:val="00F03270"/>
    <w:rsid w:val="00F15465"/>
    <w:rsid w:val="00F47B70"/>
    <w:rsid w:val="00F73C4B"/>
    <w:rsid w:val="00FC35F5"/>
    <w:rsid w:val="00FE5565"/>
    <w:rsid w:val="03155C78"/>
    <w:rsid w:val="0B0D3A4D"/>
    <w:rsid w:val="21FCCF89"/>
    <w:rsid w:val="414966E9"/>
    <w:rsid w:val="5CBD0AD0"/>
    <w:rsid w:val="5F69C504"/>
    <w:rsid w:val="7DE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63408"/>
  <w14:defaultImageDpi w14:val="32767"/>
  <w15:chartTrackingRefBased/>
  <w15:docId w15:val="{8F7AF30D-1121-484D-9D04-1E9AF0B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umpolec.senecura.cz/domov-se-zvlastnim-rezimem-seniorcentrum-humpolec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humpolec.senecura.cz/domov-pro-seniory-seniorcentrum-humpolec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umpolec.senecura.cz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157B4B-10B3-4E06-BA7A-278836019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27FD2-BC45-4DF7-9ECA-6ED1544F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EB8CD-2C71-4A66-893E-BCBBF30B090B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4.xml><?xml version="1.0" encoding="utf-8"?>
<ds:datastoreItem xmlns:ds="http://schemas.openxmlformats.org/officeDocument/2006/customXml" ds:itemID="{24D7AB82-B059-45FC-AC58-114B7E3C49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10</revision>
  <lastPrinted>2018-04-05T12:19:00.0000000Z</lastPrinted>
  <dcterms:created xsi:type="dcterms:W3CDTF">2021-11-28T22:07:00.0000000Z</dcterms:created>
  <dcterms:modified xsi:type="dcterms:W3CDTF">2022-08-30T05:04:30.3382716Z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