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Kovbojov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:lang w:val="fr-FR"/>
          <w14:textFill>
            <w14:solidFill>
              <w14:srgbClr w14:val="153D7C"/>
            </w14:solidFill>
          </w14:textFill>
        </w:rPr>
        <w:t xml:space="preserve">é </w:t>
      </w: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:lang w:val="it-IT"/>
          <w14:textFill>
            <w14:solidFill>
              <w14:srgbClr w14:val="153D7C"/>
            </w14:solidFill>
          </w14:textFill>
        </w:rPr>
        <w:t>a indi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ni v Plzni: SeniorCentrum SeneCura zorganizovalo velkou zahradn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slavnost ve stylu westernu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27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. 6. 2024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SeniorCentrum ze skupiny SeneCura v Plzni se prom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nilo ve westernov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ste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ko. T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domova pro seniory toti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ve stylu divok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z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padu zorganizoval tradi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zahradn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slavnost, kterou klienti spolu s p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buzn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mi a dal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ší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 hosty oslavili za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čá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tek l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ta.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Charakteru slavnosti byly p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izp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sobeny nejmen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detaily 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od v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zdoby p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program a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 ob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erstven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Po zahajovac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m proslovu 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editele domova Patrika B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lohlav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tak za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 p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lden pln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bavy i skv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j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dla, kter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se z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astnilo v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 ne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250 lid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vym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ýš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len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programu jsme mysleli doslova na v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echny v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kov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kategorie. Hlavn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bodem programu bylo perfektn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nacvi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vystoupen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ich klientek, kter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 p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ipravily kank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nov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tanec,"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ří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soci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pracovnice Hana Rozsypalov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 skv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lou atmosf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ru se postarali jak zam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stnanci SeniorCentra, tak dal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ší úč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inkuj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Mezi 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pat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ila i country kapela MHS nebo jedine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indi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nsk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skupina, kter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edvedla 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amansk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tanec. V pr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hu byla k vid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eba i pr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 s bi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 d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tsk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koutku si pak nejmen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host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mohli vyrobit indi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nsk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é č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elenky a nechat se pomalovat v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 barvami,"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dopl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uje Hana Rozsypalov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t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ma divok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z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padu bylo rovn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ěž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ipraveno ob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erstven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od kucha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sk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t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mu SeniorCentra. 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si proto mohli pochutnat na pikantn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fazol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s hov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masem, plack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Bannock, zeleninov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ch fajitas 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 divok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ýž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Pro z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jemce byly po celou dobu organizov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ny prohl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dky SeniorCentra, ale tak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exkurze do skute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ho indi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nsk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tee-pee s dobov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vybaven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m. Samoz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ejmost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stejn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jako b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hem ka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zahradn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slavnosti, byl i stylov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fotokoutek.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</w:pP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Zahradn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slavnosti hraj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 SeniorCentrech SeneCura v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znamnou roli. Klient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pom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haj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zapojit se do d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 domov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vn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áší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momenty radosti do jejich 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ivot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t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p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isp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 psychick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pohod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Nav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 propojuj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jak klienty navz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jem, tak jejich rodiny se zam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stnanci domova. D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it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rozm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rem je tak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zapojen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domova do m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komunity v dan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m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nebo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slavnost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se 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asto 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astn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dobrovoln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ci, d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ti z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kolek, studenti odborn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kol nebo z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stupci m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samospr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vy.</w:t>
      </w: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