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B1A57" w:rsidP="699DA3EB" w:rsidRDefault="5991B06D" w14:paraId="672A6659" w14:textId="77777777" w14:noSpellErr="1">
      <w:pPr>
        <w:jc w:val="center"/>
        <w:rPr>
          <w:rFonts w:ascii="Arial" w:hAnsi="Arial" w:eastAsia="Arial" w:cs="Arial"/>
          <w:noProof/>
          <w:color w:val="153D7C"/>
        </w:rPr>
      </w:pPr>
      <w:r w:rsidR="5991B06D">
        <w:drawing>
          <wp:inline wp14:editId="723ED63F" wp14:anchorId="219CEDE6">
            <wp:extent cx="1495527" cy="958671"/>
            <wp:effectExtent l="0" t="0" r="0" b="0"/>
            <wp:docPr id="744871397" name="Obrázek 74487139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744871397"/>
                    <pic:cNvPicPr/>
                  </pic:nvPicPr>
                  <pic:blipFill>
                    <a:blip r:embed="R31fe47039a9c45c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5527" cy="9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DFCD02" w:rsidP="2BB1216C" w:rsidRDefault="6772BA27" w14:paraId="151E5638" w14:textId="63CE6539">
      <w:pPr>
        <w:pStyle w:val="Normln"/>
        <w:spacing w:line="276" w:lineRule="auto"/>
        <w:ind/>
        <w:rPr>
          <w:rFonts w:ascii="Arial" w:hAnsi="Arial" w:eastAsia="Arial" w:cs="Arial"/>
          <w:b w:val="1"/>
          <w:bCs w:val="1"/>
          <w:noProof/>
          <w:sz w:val="32"/>
          <w:szCs w:val="32"/>
          <w:lang w:val="cs"/>
        </w:rPr>
      </w:pPr>
      <w:r w:rsidRPr="37432940" w:rsidR="37432940">
        <w:rPr>
          <w:rFonts w:ascii="Arial" w:hAnsi="Arial" w:eastAsia="Arial" w:cs="Arial"/>
          <w:b w:val="1"/>
          <w:bCs w:val="1"/>
          <w:noProof/>
          <w:sz w:val="32"/>
          <w:szCs w:val="32"/>
          <w:lang w:val="cs"/>
        </w:rPr>
        <w:t>SeniorCentra SeneCura v Liberci a Telči získala certifikaci Kvalitní nutriční péče</w:t>
      </w:r>
    </w:p>
    <w:p w:rsidR="6CDFCD02" w:rsidP="37432940" w:rsidRDefault="6772BA27" w14:paraId="6C329F2E" w14:textId="4F65A2FB">
      <w:pPr>
        <w:pStyle w:val="Normln"/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</w:pPr>
      <w:r w:rsidRPr="19CEC134" w:rsidR="1C1A0973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>Ocenění bylo slavnostně předáno na konferenci Asociace poskytovatelů sociálních služeb v Táboře. Certifikaci Kvalitní nutriční péče, kterou uděluje organizace Nutriční péče, o.p.s. si SeneCura zasloužila díky důrazu na kvalitní, chutnou a vyváženou stravu, která odpovídá individuálním potřebám seniorů a předchází výživovému deficitu. Klíčovou roli při zavedení inovovaných postupů nutriční péče v SeneCura hrál projekt Nu</w:t>
      </w:r>
      <w:r w:rsidRPr="19CEC134" w:rsidR="1C1A0973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 xml:space="preserve">triční standard, jehož cílem bylo </w:t>
      </w:r>
      <w:r w:rsidRPr="19CEC134" w:rsidR="1C1A0973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 xml:space="preserve">nastavit komplexní systém </w:t>
      </w:r>
      <w:r w:rsidRPr="19CEC134" w:rsidR="1C1A0973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>výživové péč</w:t>
      </w:r>
      <w:r w:rsidRPr="19CEC134" w:rsidR="09681E23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>e</w:t>
      </w:r>
      <w:r w:rsidRPr="19CEC134" w:rsidR="1C1A0973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 xml:space="preserve"> ve všech zařízeních SeneCura.</w:t>
      </w:r>
    </w:p>
    <w:p w:rsidR="6CDFCD02" w:rsidP="37432940" w:rsidRDefault="6772BA27" w14:paraId="09078F37" w14:textId="48B8975F">
      <w:pPr>
        <w:pStyle w:val="Normln"/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</w:pPr>
      <w:r w:rsidRPr="19CEC134" w:rsidR="1C1A0973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>Nutriční standard se zaměřuje nejen na pestrou a chutnou stravu, ale také na prevenci podvýživy a přizpůsobení jídelníčku seniorům s různými potřebami. To zahrnuje i spolupráci s odborníky na výživu, standardizaci dietního systému</w:t>
      </w:r>
      <w:r w:rsidRPr="19CEC134" w:rsidR="1C1A0973">
        <w:rPr>
          <w:rFonts w:ascii="Arial" w:hAnsi="Arial" w:eastAsia="Arial" w:cs="Arial"/>
          <w:b w:val="0"/>
          <w:bCs w:val="0"/>
          <w:noProof/>
          <w:color w:val="FF0000"/>
          <w:sz w:val="24"/>
          <w:szCs w:val="24"/>
          <w:lang w:val="cs"/>
        </w:rPr>
        <w:t xml:space="preserve"> </w:t>
      </w:r>
      <w:r w:rsidRPr="19CEC134" w:rsidR="1C1A0973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 xml:space="preserve">a detailní nutriční hodnocení s větším důrazem na nutriční příjem a složení. </w:t>
      </w:r>
      <w:r w:rsidRPr="19CEC134" w:rsidR="1C1A0973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>„Kvalitní, pestré a chutné stravování považujeme za jednu z našich hlavních priorit a neustále se v této oblasti snažíme posouvat. Na českém trhu udáváme standar</w:t>
      </w:r>
      <w:r w:rsidRPr="19CEC134" w:rsidR="72529940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>d</w:t>
      </w:r>
      <w:r w:rsidRPr="19CEC134" w:rsidR="1C1A0973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 xml:space="preserve"> kvality péče nově i v oblasti stravování“</w:t>
      </w:r>
      <w:r w:rsidRPr="19CEC134" w:rsidR="1C1A0973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 xml:space="preserve"> říká Věra Husáková, provozní ředitelka SeneCura. </w:t>
      </w:r>
    </w:p>
    <w:p w:rsidR="6CDFCD02" w:rsidP="37432940" w:rsidRDefault="6772BA27" w14:paraId="7D8636F2" w14:textId="515E0EDE">
      <w:pPr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</w:pPr>
      <w:r w:rsidRPr="5D55F5C2" w:rsidR="5D55F5C2">
        <w:rPr>
          <w:rFonts w:ascii="Arial" w:hAnsi="Arial" w:eastAsia="Arial" w:cs="Arial"/>
          <w:b w:val="0"/>
          <w:bCs w:val="0"/>
          <w:i w:val="0"/>
          <w:iCs w:val="0"/>
          <w:noProof/>
          <w:sz w:val="24"/>
          <w:szCs w:val="24"/>
          <w:lang w:val="cs"/>
        </w:rPr>
        <w:t>Za SeniorCentrum v Telči si ocenění převzaly jeho</w:t>
      </w:r>
      <w:r w:rsidRPr="5D55F5C2" w:rsidR="5D55F5C2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0"/>
          <w:iCs w:val="0"/>
          <w:noProof/>
          <w:color w:val="auto"/>
          <w:sz w:val="24"/>
          <w:szCs w:val="24"/>
          <w:lang w:val="cs" w:eastAsia="ja-JP" w:bidi="ar-SA"/>
        </w:rPr>
        <w:t xml:space="preserve"> ředitelka Marika Krejčí a </w:t>
      </w:r>
      <w:r w:rsidRPr="5D55F5C2" w:rsidR="5D55F5C2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0"/>
          <w:iCs w:val="0"/>
          <w:noProof/>
          <w:color w:val="auto"/>
          <w:sz w:val="24"/>
          <w:szCs w:val="24"/>
          <w:lang w:val="cs" w:eastAsia="ja-JP" w:bidi="ar-SA"/>
        </w:rPr>
        <w:t xml:space="preserve">staniční sestra Zdeňka Ďásková. </w:t>
      </w:r>
      <w:r w:rsidRPr="5D55F5C2" w:rsidR="5D55F5C2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0"/>
          <w:iCs w:val="0"/>
          <w:noProof/>
          <w:color w:val="auto"/>
          <w:sz w:val="24"/>
          <w:szCs w:val="24"/>
          <w:lang w:val="cs" w:eastAsia="ja-JP" w:bidi="ar-SA"/>
        </w:rPr>
        <w:t>“</w:t>
      </w:r>
      <w:r w:rsidRPr="5D55F5C2" w:rsidR="5D55F5C2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noProof/>
          <w:color w:val="auto"/>
          <w:sz w:val="24"/>
          <w:szCs w:val="24"/>
          <w:lang w:val="cs" w:eastAsia="ja-JP" w:bidi="ar-SA"/>
        </w:rPr>
        <w:t>Už</w:t>
      </w:r>
      <w:r w:rsidRPr="5D55F5C2" w:rsidR="5D55F5C2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noProof/>
          <w:color w:val="auto"/>
          <w:sz w:val="24"/>
          <w:szCs w:val="24"/>
          <w:lang w:val="cs" w:eastAsia="ja-JP" w:bidi="ar-SA"/>
        </w:rPr>
        <w:t xml:space="preserve"> naše babičky </w:t>
      </w:r>
      <w:r w:rsidRPr="5D55F5C2" w:rsidR="5D55F5C2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>říkaly, že kuchyně dělá domov. Dobré a vyvážené stravování není jen o fyzickém zdraví, ale má také výrazný vliv na duševní pohodu a celkovou vitalitu klientů”</w:t>
      </w:r>
      <w:r w:rsidRPr="5D55F5C2" w:rsidR="5D55F5C2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 xml:space="preserve"> upřesňuje Marika Krejčí. “</w:t>
      </w:r>
      <w:r w:rsidRPr="5D55F5C2" w:rsidR="5D55F5C2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>Na zavedení nutričního standardu v našem domově jsme pracovali celý rok”</w:t>
      </w:r>
      <w:r w:rsidRPr="5D55F5C2" w:rsidR="5D55F5C2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>, dodává.</w:t>
      </w:r>
    </w:p>
    <w:p w:rsidR="37432940" w:rsidP="37432940" w:rsidRDefault="37432940" w14:paraId="68C68934" w14:textId="23142914">
      <w:pPr>
        <w:pStyle w:val="Normln"/>
        <w:spacing w:before="240" w:beforeAutospacing="off" w:after="240" w:afterAutospacing="off" w:line="276" w:lineRule="auto"/>
        <w:jc w:val="both"/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</w:pPr>
      <w:r w:rsidRPr="1C1A0973" w:rsidR="1C1A0973">
        <w:rPr>
          <w:rFonts w:ascii="Aptos" w:hAnsi="Aptos" w:eastAsia="" w:cs="" w:asciiTheme="minorAscii" w:hAnsiTheme="minorAscii" w:eastAsiaTheme="minorEastAsia" w:cstheme="minorBidi"/>
          <w:b w:val="0"/>
          <w:bCs w:val="0"/>
          <w:noProof/>
          <w:color w:val="auto"/>
          <w:sz w:val="24"/>
          <w:szCs w:val="24"/>
          <w:lang w:val="cs" w:eastAsia="ja-JP" w:bidi="ar-SA"/>
        </w:rPr>
        <w:t>Tvorba Nutričního standardu a jeho implementace v SeniorCentrech SeneCura zahrnovala dvě oblasti - oblast péče o klienty a kuchyň včetně přípravy stravy. Řešena byla také standardizace postupů péče z hlediska nutričního hodnocení nebo kontrola plýtvání. Součástí nastavení nutričního standardu bylo i odborné školení pečovatelského personálu a kuchařů, aby všichni zaměstnanci měli jednotný přístup k výživě klientů. Trénink šéfkuchařů zahrnoval například používání doplňků stravy a přípravu Breikost (rozmělněná strava, která se pomocí forem zapéká do podoby běžných pokrmů).</w:t>
      </w:r>
    </w:p>
    <w:p w:rsidR="37432940" w:rsidP="37432940" w:rsidRDefault="37432940" w14:paraId="502311B0" w14:textId="33FAF8BE">
      <w:pPr>
        <w:pStyle w:val="Normln"/>
        <w:spacing w:before="240" w:beforeAutospacing="off" w:after="240" w:afterAutospacing="off" w:line="276" w:lineRule="auto"/>
        <w:jc w:val="both"/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</w:pPr>
      <w:r w:rsidRPr="19CEC134" w:rsidR="5E2A1163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>Ředitelka domova SeneCura v Liberci Lucie Čechová, za kterou převzaly ocenění vrchní sestra Ilona Kloudová a</w:t>
      </w:r>
      <w:r w:rsidRPr="19CEC134" w:rsidR="5E2A1163">
        <w:rPr>
          <w:rFonts w:ascii="Aptos" w:hAnsi="Aptos" w:eastAsia="" w:cs="" w:asciiTheme="minorAscii" w:hAnsiTheme="minorAscii" w:eastAsiaTheme="minorEastAsia" w:cstheme="minorBidi"/>
          <w:b w:val="0"/>
          <w:bCs w:val="0"/>
          <w:noProof/>
          <w:color w:val="auto"/>
          <w:sz w:val="24"/>
          <w:szCs w:val="24"/>
          <w:lang w:val="cs" w:eastAsia="ja-JP" w:bidi="ar-SA"/>
        </w:rPr>
        <w:t xml:space="preserve"> </w:t>
      </w:r>
      <w:r w:rsidRPr="19CEC134" w:rsidR="5E2A1163">
        <w:rPr>
          <w:rFonts w:ascii="Aptos" w:hAnsi="Aptos" w:eastAsia="" w:cs="" w:asciiTheme="minorAscii" w:hAnsiTheme="minorAscii" w:eastAsiaTheme="minorEastAsia" w:cstheme="minorBidi"/>
          <w:b w:val="0"/>
          <w:bCs w:val="0"/>
          <w:noProof/>
          <w:color w:val="auto"/>
          <w:sz w:val="24"/>
          <w:szCs w:val="24"/>
          <w:lang w:val="cs" w:eastAsia="ja-JP" w:bidi="ar-SA"/>
        </w:rPr>
        <w:t>staniční sestra Tereza Matěchová</w:t>
      </w:r>
      <w:r w:rsidRPr="19CEC134" w:rsidR="5E2A1163">
        <w:rPr>
          <w:rFonts w:ascii="Aptos" w:hAnsi="Aptos" w:eastAsia="" w:cs="" w:asciiTheme="minorAscii" w:hAnsiTheme="minorAscii" w:eastAsiaTheme="minorEastAsia" w:cstheme="minorBidi"/>
          <w:b w:val="0"/>
          <w:bCs w:val="0"/>
          <w:noProof/>
          <w:color w:val="auto"/>
          <w:sz w:val="24"/>
          <w:szCs w:val="24"/>
          <w:lang w:val="cs" w:eastAsia="ja-JP" w:bidi="ar-SA"/>
        </w:rPr>
        <w:t>,</w:t>
      </w:r>
      <w:r w:rsidRPr="19CEC134" w:rsidR="5E2A1163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 xml:space="preserve"> doplňuje: </w:t>
      </w:r>
      <w:r w:rsidRPr="19CEC134" w:rsidR="52DE8ABF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>„</w:t>
      </w:r>
      <w:r w:rsidRPr="19CEC134" w:rsidR="5E2A1163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>Jako každý domov SeneCura i my mám</w:t>
      </w:r>
      <w:r w:rsidRPr="19CEC134" w:rsidR="4B72C897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>e</w:t>
      </w:r>
      <w:r w:rsidRPr="19CEC134" w:rsidR="5E2A1163">
        <w:rPr>
          <w:rFonts w:ascii="Arial" w:hAnsi="Arial" w:eastAsia="Arial" w:cs="Arial"/>
          <w:b w:val="0"/>
          <w:bCs w:val="0"/>
          <w:i w:val="1"/>
          <w:iCs w:val="1"/>
          <w:noProof/>
          <w:sz w:val="24"/>
          <w:szCs w:val="24"/>
          <w:lang w:val="cs"/>
        </w:rPr>
        <w:t xml:space="preserve"> svého externího nutričního terapeuta, který nám zajišťuje průběžné poradenství a dále pomáhá zohledňovat potřeby klientů, které se v čase mění. Mám radost, že kolegové napříč péčí i kuchyní spolupracují a k zajištění nutričních potřeb klientů přistupují nejen s pocitem důležitosti, ale i s nadšením a jednotně.” </w:t>
      </w:r>
    </w:p>
    <w:p w:rsidR="37432940" w:rsidP="5D55F5C2" w:rsidRDefault="37432940" w14:paraId="736AE57F" w14:textId="7F963AF1">
      <w:pPr>
        <w:pStyle w:val="Normln"/>
        <w:spacing w:before="240" w:beforeAutospacing="off" w:after="240" w:afterAutospacing="off" w:line="276" w:lineRule="auto"/>
        <w:jc w:val="both"/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</w:pPr>
      <w:r w:rsidRPr="19CEC134" w:rsidR="5D55F5C2">
        <w:rPr>
          <w:rFonts w:ascii="Aptos" w:hAnsi="Aptos" w:eastAsia="" w:cs="" w:asciiTheme="minorAscii" w:hAnsiTheme="minorAscii" w:eastAsiaTheme="minorEastAsia" w:cstheme="minorBidi"/>
          <w:b w:val="0"/>
          <w:bCs w:val="0"/>
          <w:noProof/>
          <w:color w:val="auto"/>
          <w:sz w:val="24"/>
          <w:szCs w:val="24"/>
          <w:lang w:val="cs" w:eastAsia="ja-JP" w:bidi="ar-SA"/>
        </w:rPr>
        <w:t>Centrální nutriční tým pravidelně navštěvuje všechny domovy SeneCura, aby zajistil průběžnou podporu, individuální úpravy stravy pro klienty a kontrolu kvality.</w:t>
      </w:r>
    </w:p>
    <w:p w:rsidR="6CDFCD02" w:rsidP="37432940" w:rsidRDefault="6772BA27" w14:paraId="1EFE9B61" w14:textId="32F01C1F">
      <w:pPr>
        <w:pStyle w:val="Normln"/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</w:pPr>
      <w:r w:rsidRPr="1C1A0973" w:rsidR="1C1A0973">
        <w:rPr>
          <w:rFonts w:ascii="Arial" w:hAnsi="Arial" w:eastAsia="Arial" w:cs="Arial"/>
          <w:b w:val="0"/>
          <w:bCs w:val="0"/>
          <w:noProof/>
          <w:sz w:val="24"/>
          <w:szCs w:val="24"/>
          <w:lang w:val="cs"/>
        </w:rPr>
        <w:t>SeneCura udělala zásadní pokroky i v automatizaci administrativních procesů v kuchyních, například při naskladňování surovin. Digitalizace nejen snižuje administrativní zátěž, ale také zefektivňuje objednávky a umožňuje kuchařům soustředit se na přípravu jídel a vedení kuchyně samotné. Systém navíc generuje přehledné tiskové sestavy s informacemi o individuálních dietních potřebách každého klienta, včetně alergií, oblíbených jídel, nebo zvláštních potřeb. To vše napomáhá dosáhnout vyšší kvality servisu.</w:t>
      </w:r>
    </w:p>
    <w:p w:rsidR="6CDFCD02" w:rsidP="6772BA27" w:rsidRDefault="6772BA27" w14:paraId="1037CD74" w14:textId="701E87B3">
      <w:pPr>
        <w:spacing w:line="276" w:lineRule="auto"/>
        <w:ind w:left="-1"/>
        <w:rPr>
          <w:rFonts w:ascii="Arial" w:hAnsi="Arial" w:eastAsia="Arial" w:cs="Arial"/>
          <w:noProof/>
          <w:color w:val="000000" w:themeColor="text1"/>
        </w:rPr>
      </w:pPr>
      <w:r w:rsidRPr="2BB1216C" w:rsidR="6772BA27">
        <w:rPr>
          <w:rFonts w:ascii="Arial" w:hAnsi="Arial" w:eastAsia="Arial" w:cs="Arial"/>
          <w:noProof/>
          <w:color w:val="000000" w:themeColor="text1" w:themeTint="FF" w:themeShade="FF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:rsidR="6CDFCD02" w:rsidP="6423B598" w:rsidRDefault="6CDFCD02" w14:paraId="511D51AA" w14:textId="5CD9D895" w14:noSpellErr="1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232DD4DD" w:rsidR="19D84560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2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>soci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>s i p</w:t>
      </w: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6CDFCD02" w:rsidP="6423B598" w:rsidRDefault="6CDFCD02" w14:paraId="1A3EB447" w14:textId="77777777" w14:noSpellErr="1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232DD4DD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bc161c40747b42a8">
        <w:r w:rsidRPr="232DD4DD" w:rsidR="6CDFCD02">
          <w:rPr>
            <w:rStyle w:val="Hypertextovodkaz"/>
            <w:rFonts w:ascii="Arial" w:hAnsi="Arial" w:eastAsia="Arial" w:cs="Arial"/>
            <w:noProof/>
            <w:sz w:val="20"/>
            <w:szCs w:val="20"/>
            <w:lang w:val="cs"/>
          </w:rPr>
          <w:t>www.senecura.cz</w:t>
        </w:r>
      </w:hyperlink>
    </w:p>
    <w:p w:rsidR="6423B598" w:rsidP="6423B598" w:rsidRDefault="6423B598" w14:paraId="02EB378F" w14:textId="77777777" w14:noSpellErr="1">
      <w:pPr>
        <w:rPr>
          <w:rFonts w:ascii="Arial" w:hAnsi="Arial" w:eastAsia="Arial" w:cs="Arial"/>
          <w:noProof/>
        </w:rPr>
      </w:pPr>
    </w:p>
    <w:p w:rsidR="00AB5615" w:rsidP="6423B598" w:rsidRDefault="00AB5615" w14:paraId="267EB048" w14:textId="77777777" w14:noSpellErr="1">
      <w:pPr>
        <w:rPr>
          <w:rFonts w:ascii="Arial" w:hAnsi="Arial" w:eastAsia="Arial" w:cs="Arial"/>
          <w:noProof/>
        </w:rPr>
      </w:pPr>
    </w:p>
    <w:sectPr w:rsidR="00AB56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5480"/>
    <w:multiLevelType w:val="hybridMultilevel"/>
    <w:tmpl w:val="F34674A2"/>
    <w:lvl w:ilvl="0" w:tplc="AA7CE76A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966A540"/>
    <w:multiLevelType w:val="hybridMultilevel"/>
    <w:tmpl w:val="10443DF0"/>
    <w:lvl w:ilvl="0" w:tplc="6DA6FC64">
      <w:start w:val="1"/>
      <w:numFmt w:val="decimal"/>
      <w:lvlText w:val="%1."/>
      <w:lvlJc w:val="left"/>
      <w:pPr>
        <w:ind w:left="720" w:hanging="360"/>
      </w:pPr>
    </w:lvl>
    <w:lvl w:ilvl="1" w:tplc="33CEC368">
      <w:start w:val="1"/>
      <w:numFmt w:val="lowerLetter"/>
      <w:lvlText w:val="%2."/>
      <w:lvlJc w:val="left"/>
      <w:pPr>
        <w:ind w:left="1440" w:hanging="360"/>
      </w:pPr>
    </w:lvl>
    <w:lvl w:ilvl="2" w:tplc="15B8810C">
      <w:start w:val="1"/>
      <w:numFmt w:val="lowerRoman"/>
      <w:lvlText w:val="%3."/>
      <w:lvlJc w:val="right"/>
      <w:pPr>
        <w:ind w:left="2160" w:hanging="180"/>
      </w:pPr>
    </w:lvl>
    <w:lvl w:ilvl="3" w:tplc="443034C2">
      <w:start w:val="1"/>
      <w:numFmt w:val="decimal"/>
      <w:lvlText w:val="%4."/>
      <w:lvlJc w:val="left"/>
      <w:pPr>
        <w:ind w:left="2880" w:hanging="360"/>
      </w:pPr>
    </w:lvl>
    <w:lvl w:ilvl="4" w:tplc="85CAF9FA">
      <w:start w:val="1"/>
      <w:numFmt w:val="lowerLetter"/>
      <w:lvlText w:val="%5."/>
      <w:lvlJc w:val="left"/>
      <w:pPr>
        <w:ind w:left="3600" w:hanging="360"/>
      </w:pPr>
    </w:lvl>
    <w:lvl w:ilvl="5" w:tplc="9AAAD5B6">
      <w:start w:val="1"/>
      <w:numFmt w:val="lowerRoman"/>
      <w:lvlText w:val="%6."/>
      <w:lvlJc w:val="right"/>
      <w:pPr>
        <w:ind w:left="4320" w:hanging="180"/>
      </w:pPr>
    </w:lvl>
    <w:lvl w:ilvl="6" w:tplc="2ED4CBAA">
      <w:start w:val="1"/>
      <w:numFmt w:val="decimal"/>
      <w:lvlText w:val="%7."/>
      <w:lvlJc w:val="left"/>
      <w:pPr>
        <w:ind w:left="5040" w:hanging="360"/>
      </w:pPr>
    </w:lvl>
    <w:lvl w:ilvl="7" w:tplc="B372D028">
      <w:start w:val="1"/>
      <w:numFmt w:val="lowerLetter"/>
      <w:lvlText w:val="%8."/>
      <w:lvlJc w:val="left"/>
      <w:pPr>
        <w:ind w:left="5760" w:hanging="360"/>
      </w:pPr>
    </w:lvl>
    <w:lvl w:ilvl="8" w:tplc="2FECF2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974F5"/>
    <w:multiLevelType w:val="hybridMultilevel"/>
    <w:tmpl w:val="428C52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4222980">
    <w:abstractNumId w:val="1"/>
  </w:num>
  <w:num w:numId="2" w16cid:durableId="160971458">
    <w:abstractNumId w:val="2"/>
  </w:num>
  <w:num w:numId="3" w16cid:durableId="139416109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81B500"/>
    <w:rsid w:val="00112355"/>
    <w:rsid w:val="001B5444"/>
    <w:rsid w:val="001C0E5D"/>
    <w:rsid w:val="002213C6"/>
    <w:rsid w:val="00303CB9"/>
    <w:rsid w:val="004508C6"/>
    <w:rsid w:val="006A62AC"/>
    <w:rsid w:val="006B1A57"/>
    <w:rsid w:val="00787802"/>
    <w:rsid w:val="00842C4B"/>
    <w:rsid w:val="00AB5615"/>
    <w:rsid w:val="00CE125F"/>
    <w:rsid w:val="00DB56ED"/>
    <w:rsid w:val="00E41B2B"/>
    <w:rsid w:val="01538A4B"/>
    <w:rsid w:val="027C9B43"/>
    <w:rsid w:val="02B71266"/>
    <w:rsid w:val="0381B500"/>
    <w:rsid w:val="0395547E"/>
    <w:rsid w:val="03BCE5BE"/>
    <w:rsid w:val="048101E7"/>
    <w:rsid w:val="05BCDE10"/>
    <w:rsid w:val="05D66350"/>
    <w:rsid w:val="06CE102D"/>
    <w:rsid w:val="06FF02DC"/>
    <w:rsid w:val="07A4BDB2"/>
    <w:rsid w:val="0818EE48"/>
    <w:rsid w:val="0873BB26"/>
    <w:rsid w:val="09681E23"/>
    <w:rsid w:val="096AEF62"/>
    <w:rsid w:val="0A1BA2DF"/>
    <w:rsid w:val="0A444ADE"/>
    <w:rsid w:val="0A5B48A3"/>
    <w:rsid w:val="0B5219E2"/>
    <w:rsid w:val="0B778144"/>
    <w:rsid w:val="0C31461F"/>
    <w:rsid w:val="0D07BC4F"/>
    <w:rsid w:val="0D75B74F"/>
    <w:rsid w:val="0E781D68"/>
    <w:rsid w:val="1011A2AD"/>
    <w:rsid w:val="10CB058B"/>
    <w:rsid w:val="124FDAE8"/>
    <w:rsid w:val="12A26A09"/>
    <w:rsid w:val="13439C07"/>
    <w:rsid w:val="1419C5CD"/>
    <w:rsid w:val="164A68B5"/>
    <w:rsid w:val="169E3347"/>
    <w:rsid w:val="19064EBE"/>
    <w:rsid w:val="196859E0"/>
    <w:rsid w:val="19CEC134"/>
    <w:rsid w:val="19D84560"/>
    <w:rsid w:val="1C16AD3E"/>
    <w:rsid w:val="1C1A0973"/>
    <w:rsid w:val="1C383CC9"/>
    <w:rsid w:val="1CB03041"/>
    <w:rsid w:val="1D37FC9A"/>
    <w:rsid w:val="1D8157EF"/>
    <w:rsid w:val="1EF4EDEF"/>
    <w:rsid w:val="1F2734CA"/>
    <w:rsid w:val="1F68044D"/>
    <w:rsid w:val="202D2978"/>
    <w:rsid w:val="20A4B8BF"/>
    <w:rsid w:val="2125025F"/>
    <w:rsid w:val="219202CD"/>
    <w:rsid w:val="21B2447E"/>
    <w:rsid w:val="21D2B802"/>
    <w:rsid w:val="232DD4DD"/>
    <w:rsid w:val="23626B46"/>
    <w:rsid w:val="243507EF"/>
    <w:rsid w:val="249D234E"/>
    <w:rsid w:val="250D3AD6"/>
    <w:rsid w:val="255CC1C9"/>
    <w:rsid w:val="263B6AEC"/>
    <w:rsid w:val="26F7615A"/>
    <w:rsid w:val="2715BB44"/>
    <w:rsid w:val="280A1C6F"/>
    <w:rsid w:val="28F05CBF"/>
    <w:rsid w:val="2919ED79"/>
    <w:rsid w:val="299D0D0E"/>
    <w:rsid w:val="2B883272"/>
    <w:rsid w:val="2BB1216C"/>
    <w:rsid w:val="2BD1B248"/>
    <w:rsid w:val="2C24D070"/>
    <w:rsid w:val="2D520C2F"/>
    <w:rsid w:val="2D957AF0"/>
    <w:rsid w:val="2E0D0704"/>
    <w:rsid w:val="2E2DB05A"/>
    <w:rsid w:val="2E7136B6"/>
    <w:rsid w:val="2F77D2D7"/>
    <w:rsid w:val="2F9420C0"/>
    <w:rsid w:val="2FA48DD6"/>
    <w:rsid w:val="2FECAF73"/>
    <w:rsid w:val="31FCF8CA"/>
    <w:rsid w:val="324EE2B6"/>
    <w:rsid w:val="33116DB6"/>
    <w:rsid w:val="348E1F45"/>
    <w:rsid w:val="34924178"/>
    <w:rsid w:val="34985A0A"/>
    <w:rsid w:val="349F2150"/>
    <w:rsid w:val="359C21DE"/>
    <w:rsid w:val="35EE18FC"/>
    <w:rsid w:val="37432940"/>
    <w:rsid w:val="374CC206"/>
    <w:rsid w:val="37BAA63D"/>
    <w:rsid w:val="3886D231"/>
    <w:rsid w:val="3968218F"/>
    <w:rsid w:val="3A54F5D0"/>
    <w:rsid w:val="3ADA2864"/>
    <w:rsid w:val="3CF270AF"/>
    <w:rsid w:val="3D8D4422"/>
    <w:rsid w:val="3DF9B94B"/>
    <w:rsid w:val="3E63E8FF"/>
    <w:rsid w:val="3E67BF9C"/>
    <w:rsid w:val="3F3447B1"/>
    <w:rsid w:val="3F3C074F"/>
    <w:rsid w:val="410BA142"/>
    <w:rsid w:val="41622C12"/>
    <w:rsid w:val="4191B363"/>
    <w:rsid w:val="42E0DACE"/>
    <w:rsid w:val="435DE599"/>
    <w:rsid w:val="44494D66"/>
    <w:rsid w:val="45EA5711"/>
    <w:rsid w:val="46B4A64A"/>
    <w:rsid w:val="46FCC034"/>
    <w:rsid w:val="4748665B"/>
    <w:rsid w:val="479F8FE9"/>
    <w:rsid w:val="48C1263F"/>
    <w:rsid w:val="4B0ABEA9"/>
    <w:rsid w:val="4B72C897"/>
    <w:rsid w:val="4CB49423"/>
    <w:rsid w:val="4E3F89E3"/>
    <w:rsid w:val="4F6FC412"/>
    <w:rsid w:val="4F9A58EF"/>
    <w:rsid w:val="500ED121"/>
    <w:rsid w:val="5011DCF0"/>
    <w:rsid w:val="50490B8D"/>
    <w:rsid w:val="50B84D6A"/>
    <w:rsid w:val="516B4559"/>
    <w:rsid w:val="51E363C8"/>
    <w:rsid w:val="52DE8ABF"/>
    <w:rsid w:val="533662F4"/>
    <w:rsid w:val="534340C9"/>
    <w:rsid w:val="53C2BA9B"/>
    <w:rsid w:val="53DAE89B"/>
    <w:rsid w:val="543481C4"/>
    <w:rsid w:val="543EB86F"/>
    <w:rsid w:val="55432233"/>
    <w:rsid w:val="55AEF6E9"/>
    <w:rsid w:val="570EC008"/>
    <w:rsid w:val="58AFBE08"/>
    <w:rsid w:val="58DD84C6"/>
    <w:rsid w:val="5991B06D"/>
    <w:rsid w:val="5D55F5C2"/>
    <w:rsid w:val="5DD16728"/>
    <w:rsid w:val="5DD90FCF"/>
    <w:rsid w:val="5E01F015"/>
    <w:rsid w:val="5E2A1163"/>
    <w:rsid w:val="612D6C4C"/>
    <w:rsid w:val="61DF2741"/>
    <w:rsid w:val="61DFC7B4"/>
    <w:rsid w:val="640B584C"/>
    <w:rsid w:val="6423B598"/>
    <w:rsid w:val="6572ADD3"/>
    <w:rsid w:val="66C1EEE7"/>
    <w:rsid w:val="6710E96D"/>
    <w:rsid w:val="673883C2"/>
    <w:rsid w:val="6772BA27"/>
    <w:rsid w:val="68230B46"/>
    <w:rsid w:val="6875BDA7"/>
    <w:rsid w:val="699DA3EB"/>
    <w:rsid w:val="6B8955C4"/>
    <w:rsid w:val="6CDFCD02"/>
    <w:rsid w:val="6D3F5AD1"/>
    <w:rsid w:val="6DD0F1B0"/>
    <w:rsid w:val="6DD17D05"/>
    <w:rsid w:val="6F12C72B"/>
    <w:rsid w:val="6F8238A9"/>
    <w:rsid w:val="6FD857F2"/>
    <w:rsid w:val="71223E1B"/>
    <w:rsid w:val="71680ABE"/>
    <w:rsid w:val="719C4012"/>
    <w:rsid w:val="72529940"/>
    <w:rsid w:val="72DD00CC"/>
    <w:rsid w:val="72E97EE7"/>
    <w:rsid w:val="736B739A"/>
    <w:rsid w:val="73F6CB3C"/>
    <w:rsid w:val="7428849F"/>
    <w:rsid w:val="74ECD46B"/>
    <w:rsid w:val="7507B3D3"/>
    <w:rsid w:val="753A5F68"/>
    <w:rsid w:val="75D23B15"/>
    <w:rsid w:val="76609D9D"/>
    <w:rsid w:val="7942EEC4"/>
    <w:rsid w:val="7A1D468B"/>
    <w:rsid w:val="7A211A3E"/>
    <w:rsid w:val="7C18AC35"/>
    <w:rsid w:val="7CC4597C"/>
    <w:rsid w:val="7D162646"/>
    <w:rsid w:val="7D5B8409"/>
    <w:rsid w:val="7DC9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500"/>
  <w15:chartTrackingRefBased/>
  <w15:docId w15:val="{339C581B-2190-4DF8-953C-00AA1B3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CittChar" w:customStyle="1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66C1EEE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C4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42C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hyperlink" Target="http://www.senecura.cz/" TargetMode="External" Id="Rbc161c40747b42a8" /><Relationship Type="http://schemas.openxmlformats.org/officeDocument/2006/relationships/image" Target="/media/image3.png" Id="R31fe47039a9c45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4A2-9418-4F02-ACAB-2E248A98CE7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3AFCEDC4-C3E4-4FF5-AF94-7F37AB30F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8515C-3685-4773-BA13-E692844FE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B8D61-3308-483B-9BE2-83FC24224D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revision>31</revision>
  <dcterms:created xsi:type="dcterms:W3CDTF">2024-10-17T10:25:00.0000000Z</dcterms:created>
  <dcterms:modified xsi:type="dcterms:W3CDTF">2025-03-05T05:54:56.0143196Z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