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4615A" w:rsidP="6BDB9A09" w:rsidRDefault="4E35BCD4" w14:paraId="245FF4D0" w14:textId="6258CF60">
      <w:pPr>
        <w:spacing w:line="276" w:lineRule="auto"/>
        <w:ind w:hanging="1"/>
        <w:jc w:val="center"/>
        <w:rPr>
          <w:rFonts w:ascii="Arial" w:hAnsi="Arial" w:eastAsia="Arial" w:cs="Arial"/>
          <w:noProof/>
        </w:rPr>
      </w:pPr>
      <w:bookmarkStart w:name="_GoBack" w:id="0"/>
      <w:bookmarkEnd w:id="0"/>
      <w:r>
        <w:rPr>
          <w:noProof/>
          <w:lang w:val="cs-CZ" w:eastAsia="cs-CZ"/>
        </w:rPr>
        <w:drawing>
          <wp:inline distT="0" distB="0" distL="0" distR="0" wp14:anchorId="45A96A45" wp14:editId="0BA5E8F5">
            <wp:extent cx="1422518" cy="840936"/>
            <wp:effectExtent l="0" t="0" r="0" b="0"/>
            <wp:docPr id="1044488960" name="Obrázek 104448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518" cy="8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7FBB1E" w:rsidP="6BDB9A09" w:rsidRDefault="457FBB1E" w14:paraId="7CF67BB5" w14:textId="5DD27597">
      <w:pPr>
        <w:spacing w:line="276" w:lineRule="auto"/>
        <w:ind w:hanging="1"/>
        <w:rPr>
          <w:rFonts w:ascii="Arial" w:hAnsi="Arial" w:eastAsia="Arial" w:cs="Arial"/>
          <w:noProof/>
        </w:rPr>
      </w:pPr>
    </w:p>
    <w:p w:rsidR="0CE32CC4" w:rsidP="7B33C361" w:rsidRDefault="48968198" w14:paraId="15A4C049" w14:textId="7FA0C120">
      <w:pPr>
        <w:spacing w:before="240" w:after="240" w:line="276" w:lineRule="auto"/>
        <w:rPr>
          <w:rFonts w:ascii="Arial" w:hAnsi="Arial" w:eastAsia="Arial" w:cs="Arial"/>
          <w:b/>
          <w:bCs/>
          <w:noProof/>
          <w:sz w:val="32"/>
          <w:szCs w:val="32"/>
        </w:rPr>
      </w:pPr>
      <w:r w:rsidRPr="7B33C361">
        <w:rPr>
          <w:rFonts w:ascii="Arial" w:hAnsi="Arial" w:eastAsia="Arial" w:cs="Arial"/>
          <w:b/>
          <w:bCs/>
          <w:noProof/>
          <w:sz w:val="32"/>
          <w:szCs w:val="32"/>
        </w:rPr>
        <w:t>Studenti z Norska přivezli do Šanova nové pohledy i norskou písničku</w:t>
      </w:r>
    </w:p>
    <w:p w:rsidR="0CE32CC4" w:rsidP="7B33C361" w:rsidRDefault="48968198" w14:paraId="71BC32BE" w14:textId="0DC3568E">
      <w:pPr>
        <w:spacing w:before="240" w:after="240" w:line="276" w:lineRule="auto"/>
        <w:rPr>
          <w:rFonts w:ascii="Arial" w:hAnsi="Arial" w:eastAsia="Arial" w:cs="Arial"/>
          <w:b/>
          <w:bCs/>
          <w:noProof/>
        </w:rPr>
      </w:pPr>
      <w:r w:rsidRPr="7B33C361">
        <w:rPr>
          <w:rFonts w:ascii="Arial" w:hAnsi="Arial" w:eastAsia="Arial" w:cs="Arial"/>
          <w:b/>
          <w:bCs/>
          <w:noProof/>
        </w:rPr>
        <w:t>SeniorCentrum SeneCura Šanov se opět stalo místem mezinárodní spolupráce. Díky výborným vztahům se Střední odbornou školou Znojmo (SOU a SOŠ SČMSD Znojmo, s.r.o. Přímětická) přivítalo i letos tři studenty z Norska, kteří v rámci výměnné praxe obohatili život místních seniorů i zaměstnanců.</w:t>
      </w:r>
    </w:p>
    <w:p w:rsidR="0CE32CC4" w:rsidP="0CE32CC4" w:rsidRDefault="48968198" w14:paraId="357CE127" w14:textId="068ED82E">
      <w:pPr>
        <w:spacing w:before="240" w:after="240" w:line="276" w:lineRule="auto"/>
      </w:pPr>
      <w:r w:rsidRPr="7B33C361">
        <w:rPr>
          <w:rFonts w:ascii="Arial" w:hAnsi="Arial" w:eastAsia="Arial" w:cs="Arial"/>
          <w:noProof/>
        </w:rPr>
        <w:t>Studenti Nora, Zeid a Sigurd se aktivně zapojili do každodenního chodu domova: Asistovali při skupinových i individuálních aktivitách, pomáhali s doprovodem klientů při vycházkách i při stravování, a dokonce přiložili ruku k dílu při úpravách rozlehlé zahrady.</w:t>
      </w:r>
    </w:p>
    <w:p w:rsidR="0CE32CC4" w:rsidP="0CE32CC4" w:rsidRDefault="48968198" w14:paraId="325BC5A8" w14:textId="1AFF13D6">
      <w:pPr>
        <w:spacing w:before="240" w:after="240" w:line="276" w:lineRule="auto"/>
      </w:pPr>
      <w:r w:rsidRPr="7B33C361">
        <w:rPr>
          <w:rFonts w:ascii="Arial" w:hAnsi="Arial" w:eastAsia="Arial" w:cs="Arial"/>
          <w:i/>
          <w:iCs/>
          <w:noProof/>
        </w:rPr>
        <w:t>„Spolupráce se studenty je u nás velmi oblíbená. Přináší nové impulzy, kulturní výměnu a zároveň napomáhá profesnímu růstu našich zaměstnanců,“</w:t>
      </w:r>
      <w:r w:rsidRPr="7B33C361">
        <w:rPr>
          <w:rFonts w:ascii="Arial" w:hAnsi="Arial" w:eastAsia="Arial" w:cs="Arial"/>
          <w:noProof/>
        </w:rPr>
        <w:t xml:space="preserve"> říká ředitel SeniorCentra SeneCura Šanov Michal Veleba. </w:t>
      </w:r>
      <w:r w:rsidRPr="7B33C361">
        <w:rPr>
          <w:rFonts w:ascii="Arial" w:hAnsi="Arial" w:eastAsia="Arial" w:cs="Arial"/>
          <w:i/>
          <w:iCs/>
          <w:noProof/>
        </w:rPr>
        <w:t>„Mladí lidé mají energii a nápady, naši klienti zase zkušenosti a životní nadhled. To je kombinace, která obohacuje obě strany,“</w:t>
      </w:r>
      <w:r w:rsidRPr="7B33C361">
        <w:rPr>
          <w:rFonts w:ascii="Arial" w:hAnsi="Arial" w:eastAsia="Arial" w:cs="Arial"/>
          <w:noProof/>
        </w:rPr>
        <w:t xml:space="preserve"> dodává.</w:t>
      </w:r>
    </w:p>
    <w:p w:rsidR="0CE32CC4" w:rsidP="32CA53EE" w:rsidRDefault="48968198" w14:paraId="19941359" w14:textId="65BC7E0D">
      <w:pPr>
        <w:spacing w:before="240" w:after="240" w:line="276" w:lineRule="auto"/>
        <w:rPr>
          <w:rFonts w:ascii="Arial" w:hAnsi="Arial" w:eastAsia="Arial" w:cs="Arial"/>
          <w:noProof/>
        </w:rPr>
      </w:pPr>
      <w:r w:rsidRPr="32CA53EE" w:rsidR="48968198">
        <w:rPr>
          <w:rFonts w:ascii="Arial" w:hAnsi="Arial" w:eastAsia="Arial" w:cs="Arial"/>
          <w:noProof/>
        </w:rPr>
        <w:t>Zahraniční návštěvníci si pro klienty připravili zajímavou prezentaci o své zemi. Povídání o Norsku, tradičních jídlech, krojích, sportech či královské rodině vyvolalo řadu otázek. Klienti se tak například dozvěděli, jak Norové slaví Vánoce. Společně si pak zazpívali norskou dětskou písničku, za což</w:t>
      </w:r>
      <w:r w:rsidRPr="32CA53EE" w:rsidR="332253A4">
        <w:rPr>
          <w:rFonts w:ascii="Arial" w:hAnsi="Arial" w:eastAsia="Arial" w:cs="Arial"/>
          <w:noProof/>
        </w:rPr>
        <w:t xml:space="preserve"> se</w:t>
      </w:r>
      <w:r w:rsidRPr="32CA53EE" w:rsidR="48968198">
        <w:rPr>
          <w:rFonts w:ascii="Arial" w:hAnsi="Arial" w:eastAsia="Arial" w:cs="Arial"/>
          <w:noProof/>
        </w:rPr>
        <w:t xml:space="preserve"> jim senioři o</w:t>
      </w:r>
      <w:r w:rsidRPr="32CA53EE" w:rsidR="1171E59E">
        <w:rPr>
          <w:rFonts w:ascii="Arial" w:hAnsi="Arial" w:eastAsia="Arial" w:cs="Arial"/>
          <w:noProof/>
        </w:rPr>
        <w:t>dvděčili</w:t>
      </w:r>
      <w:r w:rsidRPr="32CA53EE" w:rsidR="48968198">
        <w:rPr>
          <w:rFonts w:ascii="Arial" w:hAnsi="Arial" w:eastAsia="Arial" w:cs="Arial"/>
          <w:noProof/>
        </w:rPr>
        <w:t xml:space="preserve"> výuk</w:t>
      </w:r>
      <w:r w:rsidRPr="32CA53EE" w:rsidR="564F23F4">
        <w:rPr>
          <w:rFonts w:ascii="Arial" w:hAnsi="Arial" w:eastAsia="Arial" w:cs="Arial"/>
          <w:noProof/>
        </w:rPr>
        <w:t>ou</w:t>
      </w:r>
      <w:r w:rsidRPr="32CA53EE" w:rsidR="48968198">
        <w:rPr>
          <w:rFonts w:ascii="Arial" w:hAnsi="Arial" w:eastAsia="Arial" w:cs="Arial"/>
          <w:noProof/>
        </w:rPr>
        <w:t xml:space="preserve"> českých lidových písní.</w:t>
      </w:r>
    </w:p>
    <w:p w:rsidR="0CE32CC4" w:rsidP="0CE32CC4" w:rsidRDefault="07F82AF4" w14:paraId="06F48211" w14:textId="30A9B4FE">
      <w:pPr>
        <w:spacing w:before="240" w:after="240" w:line="276" w:lineRule="auto"/>
      </w:pPr>
      <w:r w:rsidRPr="32CA53EE" w:rsidR="07F82AF4">
        <w:rPr>
          <w:rFonts w:ascii="Arial" w:hAnsi="Arial" w:eastAsia="Arial" w:cs="Arial"/>
          <w:i w:val="1"/>
          <w:iCs w:val="1"/>
          <w:noProof/>
        </w:rPr>
        <w:t>„Návštěva norských studentů byla pro všechny krásným zpestřením. Věříme, že si z našeho domova odvezli nejen nové zkušenosti, ale i hezké vzpomínky a možná i nějaké to české slovíčko. Podle prázdných talířů soudíme, že jim chutnalo i po gastronomické stránce,“</w:t>
      </w:r>
      <w:r w:rsidRPr="32CA53EE" w:rsidR="07F82AF4">
        <w:rPr>
          <w:rFonts w:ascii="Arial" w:hAnsi="Arial" w:eastAsia="Arial" w:cs="Arial"/>
          <w:noProof/>
        </w:rPr>
        <w:t xml:space="preserve"> chválí </w:t>
      </w:r>
      <w:r w:rsidRPr="32CA53EE" w:rsidR="51E43974">
        <w:rPr>
          <w:rFonts w:ascii="Arial" w:hAnsi="Arial" w:eastAsia="Arial" w:cs="Arial"/>
          <w:noProof/>
        </w:rPr>
        <w:t>v</w:t>
      </w:r>
      <w:r w:rsidRPr="32CA53EE" w:rsidR="07F82AF4">
        <w:rPr>
          <w:rFonts w:ascii="Arial" w:hAnsi="Arial" w:eastAsia="Arial" w:cs="Arial"/>
          <w:noProof/>
        </w:rPr>
        <w:t>edoucí sociální pracovnice Jana Tesařová.</w:t>
      </w:r>
    </w:p>
    <w:p w:rsidR="0CE32CC4" w:rsidP="0CE32CC4" w:rsidRDefault="48968198" w14:paraId="703D0AD9" w14:textId="5329A95F">
      <w:pPr>
        <w:spacing w:before="240" w:after="240" w:line="276" w:lineRule="auto"/>
      </w:pPr>
      <w:r w:rsidRPr="7B33C361">
        <w:rPr>
          <w:rFonts w:ascii="Arial" w:hAnsi="Arial" w:eastAsia="Arial" w:cs="Arial"/>
          <w:noProof/>
        </w:rPr>
        <w:t>Spolupráce se studenty probíhá nejen v Šanově, ale i v dalších SeniorCentrech SeneCura po celé republice. Součástí komunitního života domovů je i zapojení dobrovolníků, například prostřednictvím spolupráce s organizací ADRA. Taková partnerství jsou přínosná nejen pro klienty a jejich okolí, ale i pro samotné pracovníky v sociálních službách, kterých je dlouhodobě nedostatek a jejichž odbornost bude stále důležitější.</w:t>
      </w:r>
    </w:p>
    <w:p w:rsidR="0024615A" w:rsidP="609DD273" w:rsidRDefault="4E35BCD4" w14:paraId="0D60C42E" w14:textId="58074C4D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</w:rPr>
      </w:pPr>
      <w:r w:rsidRPr="609DD273">
        <w:rPr>
          <w:rFonts w:ascii="Arial" w:hAnsi="Arial" w:eastAsia="Arial" w:cs="Arial"/>
          <w:noProof/>
          <w:color w:val="000000" w:themeColor="text1"/>
        </w:rPr>
        <w:lastRenderedPageBreak/>
        <w:t>–––––––––––––––––––––––––––––––––––––––––––––––––––––––––––––––––––––</w:t>
      </w:r>
    </w:p>
    <w:p w:rsidR="0024615A" w:rsidP="6BDB9A09" w:rsidRDefault="4E35BCD4" w14:paraId="24BC864A" w14:textId="0F30F81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hAnsi="Arial" w:eastAsia="Arial" w:cs="Arial"/>
          <w:noProof/>
          <w:color w:val="000000" w:themeColor="text1"/>
          <w:sz w:val="20"/>
          <w:szCs w:val="20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024615A" w:rsidP="6BDB9A09" w:rsidRDefault="4E35BCD4" w14:paraId="303073F8" w14:textId="381A2432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hAnsi="Arial" w:eastAsia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8">
        <w:r w:rsidRPr="6BDB9A09">
          <w:rPr>
            <w:rStyle w:val="Hypertextovodkaz"/>
            <w:rFonts w:ascii="Arial" w:hAnsi="Arial" w:eastAsia="Arial" w:cs="Arial"/>
            <w:noProof/>
            <w:sz w:val="20"/>
            <w:szCs w:val="20"/>
          </w:rPr>
          <w:t>www.senecura.cz</w:t>
        </w:r>
      </w:hyperlink>
    </w:p>
    <w:p w:rsidR="0024615A" w:rsidP="6BDB9A09" w:rsidRDefault="0024615A" w14:paraId="2C078E63" w14:textId="2475B1BB">
      <w:pPr>
        <w:rPr>
          <w:rFonts w:ascii="Arial" w:hAnsi="Arial" w:eastAsia="Arial" w:cs="Arial"/>
          <w:noProof/>
        </w:rPr>
      </w:pPr>
    </w:p>
    <w:sectPr w:rsidR="0024615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26D92"/>
    <w:rsid w:val="0024615A"/>
    <w:rsid w:val="00C77759"/>
    <w:rsid w:val="01AEED47"/>
    <w:rsid w:val="03AE8ECF"/>
    <w:rsid w:val="06650062"/>
    <w:rsid w:val="07F82AF4"/>
    <w:rsid w:val="080B191F"/>
    <w:rsid w:val="0859E9EF"/>
    <w:rsid w:val="0C1E1567"/>
    <w:rsid w:val="0CE32CC4"/>
    <w:rsid w:val="0EFCB785"/>
    <w:rsid w:val="0F5CF01D"/>
    <w:rsid w:val="110E9124"/>
    <w:rsid w:val="1171E59E"/>
    <w:rsid w:val="1313589E"/>
    <w:rsid w:val="14C8AADE"/>
    <w:rsid w:val="165C34A3"/>
    <w:rsid w:val="1866E29E"/>
    <w:rsid w:val="1CE922B4"/>
    <w:rsid w:val="1D0B567E"/>
    <w:rsid w:val="1E57DAB4"/>
    <w:rsid w:val="1F8DD58E"/>
    <w:rsid w:val="2193B213"/>
    <w:rsid w:val="2509575B"/>
    <w:rsid w:val="252CEA3C"/>
    <w:rsid w:val="256A5BA1"/>
    <w:rsid w:val="26E36CC5"/>
    <w:rsid w:val="26ED7FF3"/>
    <w:rsid w:val="28B74AB5"/>
    <w:rsid w:val="297F8688"/>
    <w:rsid w:val="2ABE753E"/>
    <w:rsid w:val="2B22FAAD"/>
    <w:rsid w:val="2F4F4A6A"/>
    <w:rsid w:val="32CA53EE"/>
    <w:rsid w:val="332253A4"/>
    <w:rsid w:val="33D44CB8"/>
    <w:rsid w:val="3601F273"/>
    <w:rsid w:val="38503D34"/>
    <w:rsid w:val="3E1D94B3"/>
    <w:rsid w:val="4352C5E7"/>
    <w:rsid w:val="4361E485"/>
    <w:rsid w:val="457FBB1E"/>
    <w:rsid w:val="47366BA6"/>
    <w:rsid w:val="48968198"/>
    <w:rsid w:val="48B83E4D"/>
    <w:rsid w:val="4B73B4DF"/>
    <w:rsid w:val="4D6EAC5A"/>
    <w:rsid w:val="4DE1D749"/>
    <w:rsid w:val="4E35BCD4"/>
    <w:rsid w:val="4E36A048"/>
    <w:rsid w:val="4E9D8F41"/>
    <w:rsid w:val="4EF6EF2B"/>
    <w:rsid w:val="500EA1FA"/>
    <w:rsid w:val="50CAB91B"/>
    <w:rsid w:val="50FCD941"/>
    <w:rsid w:val="51E43974"/>
    <w:rsid w:val="51EE7613"/>
    <w:rsid w:val="53D27935"/>
    <w:rsid w:val="545DCD04"/>
    <w:rsid w:val="564F23F4"/>
    <w:rsid w:val="5C0A22A6"/>
    <w:rsid w:val="5C464F4D"/>
    <w:rsid w:val="5D79559B"/>
    <w:rsid w:val="5DAFFB6D"/>
    <w:rsid w:val="5E7C1B3F"/>
    <w:rsid w:val="5F91591C"/>
    <w:rsid w:val="609DD273"/>
    <w:rsid w:val="6260AFA2"/>
    <w:rsid w:val="63B40CB9"/>
    <w:rsid w:val="63DC3285"/>
    <w:rsid w:val="64D89D93"/>
    <w:rsid w:val="67B79B7B"/>
    <w:rsid w:val="67D10BDE"/>
    <w:rsid w:val="6BDB9A09"/>
    <w:rsid w:val="6DB3A809"/>
    <w:rsid w:val="6E36DA94"/>
    <w:rsid w:val="70526D92"/>
    <w:rsid w:val="75AF3A39"/>
    <w:rsid w:val="7B33C361"/>
    <w:rsid w:val="7DCBB200"/>
    <w:rsid w:val="7E9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6D92"/>
  <w15:chartTrackingRefBased/>
  <w15:docId w15:val="{B8134BB3-F060-4D1F-B21E-E634C6F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necura.c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1305-DCC9-4DDB-88A2-F2896991348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d5d45ce-b3e7-48ad-a773-9977969d99d7"/>
    <ds:schemaRef ds:uri="http://purl.org/dc/terms/"/>
    <ds:schemaRef ds:uri="6a03923f-64b8-4a62-9624-d681f2482c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41D451-28A8-411D-98D1-31DB86709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271C9-B940-424D-885C-E1E94887D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3</revision>
  <dcterms:created xsi:type="dcterms:W3CDTF">2025-04-08T09:01:00.0000000Z</dcterms:created>
  <dcterms:modified xsi:type="dcterms:W3CDTF">2025-04-08T14:57:36.6470322Z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